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EDB9E" w14:textId="740F49FB" w:rsidR="00DC1CD2" w:rsidRPr="00A66DAB" w:rsidRDefault="00DC1CD2" w:rsidP="00DC1CD2">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Pr>
          <w:rFonts w:cs="Arial"/>
          <w:sz w:val="24"/>
          <w:lang w:eastAsia="zh-CN"/>
        </w:rPr>
        <w:t xml:space="preserve">SG RAN WG2 Meeting </w:t>
      </w:r>
      <w:r w:rsidR="00A035CA">
        <w:rPr>
          <w:rFonts w:cs="Arial"/>
          <w:sz w:val="24"/>
          <w:lang w:eastAsia="zh-CN"/>
        </w:rPr>
        <w:t xml:space="preserve">#99              </w:t>
      </w:r>
      <w:r w:rsidR="000B6BDA" w:rsidRPr="00A66DAB">
        <w:rPr>
          <w:rFonts w:cs="Arial"/>
          <w:bCs/>
          <w:noProof w:val="0"/>
          <w:sz w:val="24"/>
        </w:rPr>
        <w:t xml:space="preserve">                                              </w:t>
      </w:r>
      <w:r w:rsidRPr="008203D8">
        <w:rPr>
          <w:rFonts w:cs="Arial"/>
          <w:bCs/>
          <w:noProof w:val="0"/>
          <w:sz w:val="24"/>
        </w:rPr>
        <w:t>R2-</w:t>
      </w:r>
      <w:r w:rsidR="00195408" w:rsidRPr="008203D8">
        <w:rPr>
          <w:rFonts w:cs="Arial"/>
          <w:bCs/>
          <w:noProof w:val="0"/>
          <w:sz w:val="24"/>
        </w:rPr>
        <w:t>17</w:t>
      </w:r>
      <w:r w:rsidR="00943F01">
        <w:rPr>
          <w:rFonts w:cs="Arial"/>
          <w:bCs/>
          <w:noProof w:val="0"/>
          <w:sz w:val="24"/>
        </w:rPr>
        <w:t>08791</w:t>
      </w:r>
    </w:p>
    <w:p w14:paraId="392C34BC" w14:textId="1625203E" w:rsidR="00DC1CD2" w:rsidRPr="00A66DAB" w:rsidRDefault="00A035CA" w:rsidP="00DC1CD2">
      <w:pPr>
        <w:pStyle w:val="Header"/>
        <w:jc w:val="both"/>
        <w:rPr>
          <w:rFonts w:cs="Arial"/>
          <w:sz w:val="24"/>
          <w:lang w:eastAsia="zh-CN"/>
        </w:rPr>
      </w:pPr>
      <w:r>
        <w:rPr>
          <w:rFonts w:cs="Arial"/>
          <w:sz w:val="24"/>
          <w:szCs w:val="24"/>
          <w:bdr w:val="none" w:sz="0" w:space="0" w:color="auto" w:frame="1"/>
        </w:rPr>
        <w:t>Berlin, Germany</w:t>
      </w:r>
      <w:r>
        <w:rPr>
          <w:rFonts w:cs="Arial"/>
          <w:sz w:val="24"/>
          <w:szCs w:val="24"/>
          <w:lang w:eastAsia="zh-CN"/>
        </w:rPr>
        <w:t>,</w:t>
      </w:r>
      <w:r w:rsidRPr="00A66DAB">
        <w:rPr>
          <w:rFonts w:cs="Arial"/>
          <w:sz w:val="24"/>
          <w:lang w:eastAsia="zh-CN"/>
        </w:rPr>
        <w:t xml:space="preserve"> </w:t>
      </w:r>
      <w:r>
        <w:rPr>
          <w:rFonts w:cs="Arial"/>
          <w:sz w:val="24"/>
          <w:lang w:eastAsia="zh-CN"/>
        </w:rPr>
        <w:t>21</w:t>
      </w:r>
      <w:r>
        <w:rPr>
          <w:rFonts w:cs="Arial"/>
          <w:sz w:val="24"/>
          <w:vertAlign w:val="superscript"/>
          <w:lang w:eastAsia="zh-CN"/>
        </w:rPr>
        <w:t>st</w:t>
      </w:r>
      <w:r>
        <w:rPr>
          <w:rFonts w:cs="Arial"/>
          <w:sz w:val="24"/>
          <w:lang w:eastAsia="zh-CN"/>
        </w:rPr>
        <w:t xml:space="preserve"> – 25</w:t>
      </w:r>
      <w:r w:rsidRPr="003B2E53">
        <w:rPr>
          <w:rFonts w:cs="Arial"/>
          <w:sz w:val="24"/>
          <w:vertAlign w:val="superscript"/>
          <w:lang w:eastAsia="zh-CN"/>
        </w:rPr>
        <w:t>th</w:t>
      </w:r>
      <w:r w:rsidRPr="00A66DAB">
        <w:rPr>
          <w:rFonts w:cs="Arial"/>
          <w:sz w:val="24"/>
          <w:lang w:eastAsia="zh-CN"/>
        </w:rPr>
        <w:t xml:space="preserve"> </w:t>
      </w:r>
      <w:r>
        <w:rPr>
          <w:rFonts w:cs="Arial"/>
          <w:sz w:val="24"/>
          <w:lang w:eastAsia="zh-CN"/>
        </w:rPr>
        <w:t xml:space="preserve">August, </w:t>
      </w:r>
      <w:r w:rsidR="00DC1CD2">
        <w:rPr>
          <w:rFonts w:cs="Arial"/>
          <w:sz w:val="24"/>
          <w:lang w:eastAsia="zh-CN"/>
        </w:rPr>
        <w:t>2017</w:t>
      </w:r>
      <w:r w:rsidR="00090CBF">
        <w:rPr>
          <w:rFonts w:cs="Arial"/>
          <w:sz w:val="24"/>
          <w:lang w:eastAsia="zh-CN"/>
        </w:rPr>
        <w:t xml:space="preserve">                                  Revision of R2-170</w:t>
      </w:r>
      <w:r>
        <w:rPr>
          <w:rFonts w:cs="Arial"/>
          <w:sz w:val="24"/>
          <w:lang w:eastAsia="zh-CN"/>
        </w:rPr>
        <w:t>7026</w:t>
      </w:r>
    </w:p>
    <w:p w14:paraId="150D53AC" w14:textId="77777777" w:rsidR="00EC3224" w:rsidRPr="0077190D" w:rsidRDefault="00EC3224" w:rsidP="00EC3224">
      <w:pPr>
        <w:pStyle w:val="Header"/>
        <w:spacing w:line="276" w:lineRule="auto"/>
        <w:jc w:val="both"/>
        <w:rPr>
          <w:bCs/>
          <w:noProof w:val="0"/>
          <w:sz w:val="24"/>
          <w:lang w:eastAsia="ja-JP"/>
        </w:rPr>
      </w:pPr>
    </w:p>
    <w:p w14:paraId="3B4FAE00" w14:textId="27D34146" w:rsidR="00EC3224" w:rsidRPr="0077190D" w:rsidRDefault="00EC3224" w:rsidP="00EC3224">
      <w:pPr>
        <w:pStyle w:val="CRCoverPage"/>
        <w:spacing w:line="276" w:lineRule="auto"/>
        <w:jc w:val="both"/>
        <w:rPr>
          <w:rFonts w:eastAsia="SimSun" w:cs="Arial"/>
          <w:b/>
          <w:bCs/>
          <w:sz w:val="24"/>
          <w:lang w:val="en-US" w:eastAsia="zh-CN"/>
        </w:rPr>
      </w:pPr>
      <w:r w:rsidRPr="0077190D">
        <w:rPr>
          <w:rFonts w:cs="Arial"/>
          <w:b/>
          <w:bCs/>
          <w:sz w:val="24"/>
          <w:lang w:val="en-US"/>
        </w:rPr>
        <w:t>Agenda item:</w:t>
      </w:r>
      <w:r w:rsidRPr="0077190D">
        <w:rPr>
          <w:rFonts w:cs="Arial"/>
          <w:b/>
          <w:bCs/>
          <w:sz w:val="24"/>
          <w:lang w:val="en-US"/>
        </w:rPr>
        <w:tab/>
      </w:r>
      <w:r w:rsidRPr="0077190D">
        <w:rPr>
          <w:rFonts w:cs="Arial"/>
          <w:b/>
          <w:bCs/>
          <w:sz w:val="24"/>
          <w:lang w:val="en-US"/>
        </w:rPr>
        <w:tab/>
      </w:r>
      <w:r w:rsidR="00090CBF">
        <w:rPr>
          <w:rFonts w:cs="Arial"/>
          <w:bCs/>
          <w:sz w:val="24"/>
          <w:lang w:val="en-US"/>
        </w:rPr>
        <w:t>10.3.1.10</w:t>
      </w:r>
    </w:p>
    <w:p w14:paraId="7AD2F888" w14:textId="77777777" w:rsidR="00EC3224" w:rsidRPr="0077190D" w:rsidRDefault="00EC3224" w:rsidP="00EC3224">
      <w:pPr>
        <w:spacing w:line="276" w:lineRule="auto"/>
        <w:jc w:val="both"/>
        <w:rPr>
          <w:rFonts w:ascii="Arial" w:hAnsi="Arial" w:cs="Arial"/>
          <w:bCs/>
          <w:sz w:val="24"/>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Intel Corporation</w:t>
      </w:r>
    </w:p>
    <w:p w14:paraId="0A958500" w14:textId="09138CD7" w:rsidR="00EC3224" w:rsidRPr="0077190D" w:rsidRDefault="00EC3224" w:rsidP="00EC3224">
      <w:pPr>
        <w:tabs>
          <w:tab w:val="left" w:pos="1985"/>
        </w:tabs>
        <w:spacing w:line="276" w:lineRule="auto"/>
        <w:ind w:left="2880" w:hanging="2880"/>
        <w:jc w:val="both"/>
        <w:rPr>
          <w:rFonts w:ascii="Arial" w:eastAsia="Malgun Gothic" w:hAnsi="Arial" w:cs="Arial"/>
          <w:bCs/>
          <w:sz w:val="24"/>
          <w:lang w:eastAsia="ko-KR"/>
        </w:rPr>
      </w:pPr>
      <w:r w:rsidRPr="0077190D">
        <w:rPr>
          <w:rFonts w:ascii="Arial" w:hAnsi="Arial" w:cs="Arial"/>
          <w:b/>
          <w:bCs/>
          <w:sz w:val="24"/>
        </w:rPr>
        <w:t>Title:</w:t>
      </w:r>
      <w:r w:rsidRPr="0077190D">
        <w:rPr>
          <w:rFonts w:ascii="Arial" w:hAnsi="Arial" w:cs="Arial"/>
          <w:bCs/>
          <w:sz w:val="24"/>
        </w:rPr>
        <w:tab/>
      </w:r>
      <w:r w:rsidRPr="0077190D">
        <w:rPr>
          <w:rFonts w:ascii="Arial" w:hAnsi="Arial" w:cs="Arial"/>
          <w:bCs/>
          <w:sz w:val="24"/>
        </w:rPr>
        <w:tab/>
      </w:r>
      <w:r w:rsidR="00F9014E" w:rsidRPr="0077190D">
        <w:rPr>
          <w:rFonts w:ascii="Arial" w:hAnsi="Arial" w:cs="Arial"/>
          <w:bCs/>
          <w:sz w:val="24"/>
        </w:rPr>
        <w:t>C-DRX enhancement</w:t>
      </w:r>
      <w:r w:rsidRPr="0077190D">
        <w:rPr>
          <w:rFonts w:ascii="Arial" w:hAnsi="Arial" w:cs="Arial"/>
          <w:bCs/>
          <w:sz w:val="24"/>
        </w:rPr>
        <w:t xml:space="preserve"> in NR</w:t>
      </w:r>
    </w:p>
    <w:p w14:paraId="251C13C3" w14:textId="77777777" w:rsidR="00EC3224" w:rsidRPr="0077190D" w:rsidRDefault="00EC3224" w:rsidP="00EC3224">
      <w:pPr>
        <w:spacing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 and decision</w:t>
      </w:r>
    </w:p>
    <w:p w14:paraId="412EF39C" w14:textId="77777777" w:rsidR="00EC3224" w:rsidRPr="0077190D" w:rsidRDefault="00EC3224" w:rsidP="00EA3FD8">
      <w:pPr>
        <w:pStyle w:val="Heading1"/>
      </w:pPr>
      <w:bookmarkStart w:id="1" w:name="_Ref429645891"/>
      <w:r w:rsidRPr="0077190D">
        <w:t>Introduction</w:t>
      </w:r>
      <w:bookmarkEnd w:id="1"/>
    </w:p>
    <w:p w14:paraId="0DCA3C7C" w14:textId="3A1F4824" w:rsidR="00016AA4" w:rsidRPr="0077190D" w:rsidRDefault="00016AA4" w:rsidP="00C46271">
      <w:r w:rsidRPr="0077190D">
        <w:t>In RAN2#97bis</w:t>
      </w:r>
      <w:r w:rsidR="00B145C0" w:rsidRPr="0077190D">
        <w:t xml:space="preserve"> [1]</w:t>
      </w:r>
      <w:r w:rsidRPr="0077190D">
        <w:t>, following agreements were made.</w:t>
      </w:r>
    </w:p>
    <w:p w14:paraId="6682200B" w14:textId="77777777" w:rsidR="00016AA4" w:rsidRPr="0077190D" w:rsidRDefault="00016AA4" w:rsidP="0077190D">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450"/>
        <w:rPr>
          <w:rFonts w:ascii="Times New Roman" w:hAnsi="Times New Roman"/>
          <w:i/>
        </w:rPr>
      </w:pPr>
      <w:r w:rsidRPr="0077190D">
        <w:t>-</w:t>
      </w:r>
      <w:r w:rsidRPr="0077190D">
        <w:tab/>
      </w:r>
      <w:r w:rsidRPr="0077190D">
        <w:rPr>
          <w:rFonts w:ascii="Times New Roman" w:hAnsi="Times New Roman"/>
          <w:i/>
        </w:rPr>
        <w:t>A MAC entity can be in one DRX state (i.e. single on/off time) at any given time.  FFS if multiple configuration are supported.</w:t>
      </w:r>
    </w:p>
    <w:p w14:paraId="2914327C" w14:textId="77777777" w:rsidR="00016AA4" w:rsidRPr="0077190D" w:rsidRDefault="00016AA4" w:rsidP="0077190D">
      <w:pPr>
        <w:pStyle w:val="Doc-text2"/>
        <w:pBdr>
          <w:top w:val="single" w:sz="4" w:space="1" w:color="auto"/>
          <w:left w:val="single" w:sz="4" w:space="4" w:color="auto"/>
          <w:bottom w:val="single" w:sz="4" w:space="1" w:color="auto"/>
          <w:right w:val="single" w:sz="4" w:space="4" w:color="auto"/>
        </w:pBdr>
        <w:tabs>
          <w:tab w:val="left" w:pos="450"/>
        </w:tabs>
        <w:ind w:hanging="1622"/>
        <w:rPr>
          <w:rFonts w:ascii="Times New Roman" w:hAnsi="Times New Roman"/>
          <w:i/>
        </w:rPr>
      </w:pPr>
      <w:r w:rsidRPr="0077190D">
        <w:rPr>
          <w:rFonts w:ascii="Times New Roman" w:hAnsi="Times New Roman"/>
          <w:i/>
        </w:rPr>
        <w:t>-</w:t>
      </w:r>
      <w:r w:rsidRPr="0077190D">
        <w:rPr>
          <w:rFonts w:ascii="Times New Roman" w:hAnsi="Times New Roman"/>
          <w:i/>
        </w:rPr>
        <w:tab/>
        <w:t xml:space="preserve">When MAC entity is awake it monitors “PDCCH” occasion </w:t>
      </w:r>
    </w:p>
    <w:p w14:paraId="06E18A34" w14:textId="77777777" w:rsidR="00016AA4" w:rsidRPr="0077190D" w:rsidRDefault="00016AA4" w:rsidP="0077190D">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450"/>
        <w:rPr>
          <w:rFonts w:ascii="Times New Roman" w:hAnsi="Times New Roman"/>
          <w:i/>
        </w:rPr>
      </w:pPr>
      <w:r w:rsidRPr="0077190D">
        <w:rPr>
          <w:rFonts w:ascii="Times New Roman" w:hAnsi="Times New Roman"/>
          <w:i/>
        </w:rPr>
        <w:t>-</w:t>
      </w:r>
      <w:r w:rsidRPr="0077190D">
        <w:rPr>
          <w:rFonts w:ascii="Times New Roman" w:hAnsi="Times New Roman"/>
          <w:i/>
        </w:rPr>
        <w:tab/>
        <w:t>In NR, a DRX configuration is described by at least the following configuration parameters: an on duration time, an inactivity time, a retransmission time, short DRX cycles, long DRX cycles</w:t>
      </w:r>
    </w:p>
    <w:p w14:paraId="5326EAEC" w14:textId="77777777" w:rsidR="00A035CA" w:rsidRDefault="00A035CA" w:rsidP="00C46271"/>
    <w:p w14:paraId="170F4BC9" w14:textId="6B576009" w:rsidR="00A035CA" w:rsidRPr="00A035CA" w:rsidRDefault="00A035CA" w:rsidP="00C46271">
      <w:r>
        <w:t xml:space="preserve">In RAN2 </w:t>
      </w:r>
      <w:proofErr w:type="spellStart"/>
      <w:r w:rsidRPr="00A035CA">
        <w:t>adhoc</w:t>
      </w:r>
      <w:proofErr w:type="spellEnd"/>
      <w:r w:rsidRPr="00A035CA">
        <w:t xml:space="preserve"> #NR2 meeting [x], following agreements were made.</w:t>
      </w:r>
    </w:p>
    <w:p w14:paraId="4E3DE66E" w14:textId="77777777" w:rsidR="00A035CA" w:rsidRPr="00A035CA" w:rsidRDefault="00A035CA" w:rsidP="00F05897">
      <w:pPr>
        <w:pStyle w:val="Doc-text2"/>
        <w:numPr>
          <w:ilvl w:val="0"/>
          <w:numId w:val="26"/>
        </w:numPr>
        <w:pBdr>
          <w:top w:val="single" w:sz="4" w:space="1" w:color="auto"/>
          <w:left w:val="single" w:sz="4" w:space="4" w:color="auto"/>
          <w:bottom w:val="single" w:sz="4" w:space="1" w:color="auto"/>
          <w:right w:val="single" w:sz="4" w:space="4" w:color="auto"/>
        </w:pBdr>
        <w:spacing w:beforeLines="40" w:before="96"/>
        <w:rPr>
          <w:rFonts w:ascii="Times New Roman" w:hAnsi="Times New Roman"/>
          <w:i/>
        </w:rPr>
      </w:pPr>
      <w:r w:rsidRPr="00A035CA">
        <w:rPr>
          <w:rFonts w:ascii="Times New Roman" w:hAnsi="Times New Roman"/>
          <w:i/>
        </w:rPr>
        <w:t xml:space="preserve">As a baseline, a single DRX configuration like in LTE will be supported.  </w:t>
      </w:r>
    </w:p>
    <w:p w14:paraId="37BDF57C" w14:textId="77777777" w:rsidR="00A035CA" w:rsidRPr="00A035CA" w:rsidRDefault="00A035CA" w:rsidP="00F05897">
      <w:pPr>
        <w:pStyle w:val="Doc-text2"/>
        <w:numPr>
          <w:ilvl w:val="0"/>
          <w:numId w:val="26"/>
        </w:numPr>
        <w:pBdr>
          <w:top w:val="single" w:sz="4" w:space="1" w:color="auto"/>
          <w:left w:val="single" w:sz="4" w:space="4" w:color="auto"/>
          <w:bottom w:val="single" w:sz="4" w:space="1" w:color="auto"/>
          <w:right w:val="single" w:sz="4" w:space="4" w:color="auto"/>
        </w:pBdr>
        <w:spacing w:beforeLines="40" w:before="96"/>
        <w:rPr>
          <w:rFonts w:ascii="Times New Roman" w:hAnsi="Times New Roman"/>
          <w:i/>
        </w:rPr>
      </w:pPr>
      <w:r w:rsidRPr="00A035CA">
        <w:rPr>
          <w:rFonts w:ascii="Times New Roman" w:hAnsi="Times New Roman"/>
          <w:i/>
        </w:rPr>
        <w:t xml:space="preserve">The DL and UL HARQ RTT timer are not static values.   FFS if the timer is removed or how it is set.   </w:t>
      </w:r>
    </w:p>
    <w:p w14:paraId="120C30C9" w14:textId="77777777" w:rsidR="00A035CA" w:rsidRPr="00A035CA" w:rsidRDefault="00A035CA" w:rsidP="00C46271"/>
    <w:p w14:paraId="33BB737C" w14:textId="18D10F59" w:rsidR="00EC3224" w:rsidRPr="003010EA" w:rsidRDefault="00EC3224" w:rsidP="00C46271">
      <w:r w:rsidRPr="003010EA">
        <w:t>In this document, we discuss</w:t>
      </w:r>
      <w:r w:rsidR="00B145C0" w:rsidRPr="003010EA">
        <w:t xml:space="preserve"> </w:t>
      </w:r>
      <w:r w:rsidR="00B56792" w:rsidRPr="003010EA">
        <w:t>the issue of using multiple DRX configuration</w:t>
      </w:r>
      <w:r w:rsidR="00222F9D" w:rsidRPr="003010EA">
        <w:t>s</w:t>
      </w:r>
      <w:r w:rsidR="00B56792" w:rsidRPr="003010EA">
        <w:t xml:space="preserve"> at the same time and </w:t>
      </w:r>
      <w:r w:rsidR="00222F9D" w:rsidRPr="003010EA">
        <w:t xml:space="preserve">the </w:t>
      </w:r>
      <w:r w:rsidR="00B56792" w:rsidRPr="003010EA">
        <w:t xml:space="preserve">necessity of switching of </w:t>
      </w:r>
      <w:r w:rsidR="00661B0A" w:rsidRPr="003010EA">
        <w:t xml:space="preserve">the </w:t>
      </w:r>
      <w:r w:rsidR="00B56792" w:rsidRPr="003010EA">
        <w:t>DRX configuration</w:t>
      </w:r>
      <w:r w:rsidR="00661B0A" w:rsidRPr="003010EA">
        <w:t>s</w:t>
      </w:r>
      <w:r w:rsidR="002243A7" w:rsidRPr="003010EA">
        <w:t>.</w:t>
      </w:r>
      <w:r w:rsidR="00661B0A" w:rsidRPr="003010EA">
        <w:t xml:space="preserve"> We also discuss that some of the DRX parameters depend on the numerology/TTI length of a TB.</w:t>
      </w:r>
    </w:p>
    <w:p w14:paraId="6BC4397B" w14:textId="1F897E28" w:rsidR="00D008A9" w:rsidRPr="0077190D" w:rsidRDefault="006E3858" w:rsidP="000F42B9">
      <w:pPr>
        <w:pStyle w:val="Heading1"/>
      </w:pPr>
      <w:r w:rsidRPr="0077190D">
        <w:t>Discussion</w:t>
      </w:r>
    </w:p>
    <w:p w14:paraId="2262E67A" w14:textId="77777777" w:rsidR="006E3858" w:rsidRPr="0077190D" w:rsidRDefault="006E3858" w:rsidP="00822E6C">
      <w:pPr>
        <w:pStyle w:val="Heading2"/>
      </w:pPr>
      <w:bookmarkStart w:id="2" w:name="_Toc465868500"/>
      <w:bookmarkStart w:id="3" w:name="_Toc466027729"/>
      <w:bookmarkStart w:id="4" w:name="_Toc466028396"/>
      <w:bookmarkStart w:id="5" w:name="_Toc466040661"/>
      <w:bookmarkStart w:id="6" w:name="_Toc466045641"/>
      <w:bookmarkStart w:id="7" w:name="_Toc466045664"/>
      <w:bookmarkStart w:id="8" w:name="_Toc466061037"/>
      <w:bookmarkStart w:id="9" w:name="_Toc466061104"/>
      <w:bookmarkStart w:id="10" w:name="_Toc466061858"/>
      <w:bookmarkStart w:id="11" w:name="_Toc468890154"/>
      <w:bookmarkStart w:id="12" w:name="_Toc471160386"/>
      <w:bookmarkStart w:id="13" w:name="_Toc471307474"/>
      <w:bookmarkStart w:id="14" w:name="_Toc471472873"/>
      <w:bookmarkStart w:id="15" w:name="_Toc471472941"/>
      <w:bookmarkStart w:id="16" w:name="_Toc471473047"/>
      <w:bookmarkStart w:id="17" w:name="_Toc471489994"/>
      <w:bookmarkStart w:id="18" w:name="_Toc471490348"/>
      <w:bookmarkStart w:id="19" w:name="_Toc473647365"/>
      <w:bookmarkStart w:id="20" w:name="_Toc473756685"/>
      <w:bookmarkStart w:id="21" w:name="_Toc473839300"/>
      <w:bookmarkStart w:id="22" w:name="_Toc473903704"/>
      <w:r w:rsidRPr="0077190D">
        <w:t>Unit of the DRX parameters</w:t>
      </w:r>
    </w:p>
    <w:p w14:paraId="47308813" w14:textId="43D9B32F" w:rsidR="006E3858" w:rsidRPr="0077190D" w:rsidRDefault="006E3858" w:rsidP="006E3858">
      <w:pPr>
        <w:rPr>
          <w:lang w:val="en-GB" w:eastAsia="x-none"/>
        </w:rPr>
      </w:pPr>
      <w:r w:rsidRPr="0077190D">
        <w:rPr>
          <w:lang w:val="en-GB" w:eastAsia="x-none"/>
        </w:rPr>
        <w:t xml:space="preserve">Based on the RAN2 agreement, in NR, </w:t>
      </w:r>
      <w:r w:rsidR="004B1262">
        <w:rPr>
          <w:lang w:val="en-GB" w:eastAsia="x-none"/>
        </w:rPr>
        <w:t>a</w:t>
      </w:r>
      <w:r w:rsidRPr="0077190D">
        <w:rPr>
          <w:lang w:val="en-GB" w:eastAsia="x-none"/>
        </w:rPr>
        <w:t>t least the following DRX parameters need to be configured to a UE.</w:t>
      </w:r>
    </w:p>
    <w:p w14:paraId="2BE10BC2" w14:textId="77777777" w:rsidR="006E3858" w:rsidRPr="0077190D" w:rsidRDefault="006E3858" w:rsidP="006E3858">
      <w:pPr>
        <w:pStyle w:val="ListParagraph"/>
        <w:numPr>
          <w:ilvl w:val="0"/>
          <w:numId w:val="19"/>
        </w:numPr>
        <w:rPr>
          <w:lang w:val="en-GB" w:eastAsia="x-none"/>
        </w:rPr>
      </w:pPr>
      <w:r w:rsidRPr="0077190D">
        <w:rPr>
          <w:lang w:val="en-GB" w:eastAsia="x-none"/>
        </w:rPr>
        <w:t>ON duration timer</w:t>
      </w:r>
    </w:p>
    <w:p w14:paraId="738CD68F" w14:textId="77777777" w:rsidR="006E3858" w:rsidRPr="0077190D" w:rsidRDefault="006E3858" w:rsidP="006E3858">
      <w:pPr>
        <w:pStyle w:val="ListParagraph"/>
        <w:numPr>
          <w:ilvl w:val="0"/>
          <w:numId w:val="19"/>
        </w:numPr>
        <w:rPr>
          <w:lang w:val="en-GB" w:eastAsia="x-none"/>
        </w:rPr>
      </w:pPr>
      <w:r w:rsidRPr="0077190D">
        <w:rPr>
          <w:lang w:val="en-GB" w:eastAsia="x-none"/>
        </w:rPr>
        <w:t>DRX inactivity timer</w:t>
      </w:r>
    </w:p>
    <w:p w14:paraId="7D1017EB" w14:textId="77777777" w:rsidR="006E3858" w:rsidRPr="0077190D" w:rsidRDefault="006E3858" w:rsidP="006E3858">
      <w:pPr>
        <w:pStyle w:val="ListParagraph"/>
        <w:numPr>
          <w:ilvl w:val="0"/>
          <w:numId w:val="19"/>
        </w:numPr>
        <w:rPr>
          <w:lang w:val="en-GB" w:eastAsia="x-none"/>
        </w:rPr>
      </w:pPr>
      <w:r w:rsidRPr="0077190D">
        <w:rPr>
          <w:lang w:val="en-GB" w:eastAsia="x-none"/>
        </w:rPr>
        <w:t>DRX retransmission timer</w:t>
      </w:r>
    </w:p>
    <w:p w14:paraId="6D7288D5" w14:textId="77777777" w:rsidR="006E3858" w:rsidRPr="0077190D" w:rsidRDefault="006E3858" w:rsidP="006E3858">
      <w:pPr>
        <w:pStyle w:val="ListParagraph"/>
        <w:numPr>
          <w:ilvl w:val="0"/>
          <w:numId w:val="19"/>
        </w:numPr>
        <w:rPr>
          <w:lang w:val="en-GB" w:eastAsia="x-none"/>
        </w:rPr>
      </w:pPr>
      <w:r w:rsidRPr="0077190D">
        <w:rPr>
          <w:lang w:val="en-GB" w:eastAsia="x-none"/>
        </w:rPr>
        <w:t>DRX UL retransmission timer</w:t>
      </w:r>
    </w:p>
    <w:p w14:paraId="5DF833F6" w14:textId="77777777" w:rsidR="006E3858" w:rsidRPr="0077190D" w:rsidRDefault="006E3858" w:rsidP="006E3858">
      <w:pPr>
        <w:pStyle w:val="ListParagraph"/>
        <w:numPr>
          <w:ilvl w:val="0"/>
          <w:numId w:val="19"/>
        </w:numPr>
        <w:rPr>
          <w:lang w:val="en-GB" w:eastAsia="x-none"/>
        </w:rPr>
      </w:pPr>
      <w:r w:rsidRPr="0077190D">
        <w:rPr>
          <w:lang w:val="en-GB" w:eastAsia="x-none"/>
        </w:rPr>
        <w:t>Short DRX cycle and long DRX cycle</w:t>
      </w:r>
    </w:p>
    <w:p w14:paraId="15EE4374" w14:textId="2C231BC4" w:rsidR="006E3858" w:rsidRPr="0077190D" w:rsidRDefault="006E3858" w:rsidP="006E3858">
      <w:pPr>
        <w:rPr>
          <w:lang w:val="en-GB" w:eastAsia="x-none"/>
        </w:rPr>
      </w:pPr>
      <w:r w:rsidRPr="0077190D">
        <w:rPr>
          <w:lang w:val="en-GB" w:eastAsia="x-none"/>
        </w:rPr>
        <w:t xml:space="preserve">In </w:t>
      </w:r>
      <w:r w:rsidR="00C90D6F" w:rsidRPr="0077190D">
        <w:rPr>
          <w:lang w:val="en-GB" w:eastAsia="x-none"/>
        </w:rPr>
        <w:t>LTE</w:t>
      </w:r>
      <w:r w:rsidRPr="0077190D">
        <w:rPr>
          <w:lang w:val="en-GB" w:eastAsia="x-none"/>
        </w:rPr>
        <w:t xml:space="preserve">, ON duration timer and DRX inactivity timer are MAC entity specific. </w:t>
      </w:r>
      <w:r w:rsidR="00C90D6F" w:rsidRPr="0077190D">
        <w:rPr>
          <w:lang w:val="en-GB" w:eastAsia="x-none"/>
        </w:rPr>
        <w:t>In NR</w:t>
      </w:r>
      <w:r w:rsidR="0077190D" w:rsidRPr="0077190D">
        <w:rPr>
          <w:lang w:val="en-GB" w:eastAsia="x-none"/>
        </w:rPr>
        <w:t>, these</w:t>
      </w:r>
      <w:r w:rsidRPr="0077190D">
        <w:rPr>
          <w:lang w:val="en-GB" w:eastAsia="x-none"/>
        </w:rPr>
        <w:t xml:space="preserve"> timers </w:t>
      </w:r>
      <w:r w:rsidR="00C90D6F" w:rsidRPr="0077190D">
        <w:rPr>
          <w:lang w:val="en-GB" w:eastAsia="x-none"/>
        </w:rPr>
        <w:t>may dependent on</w:t>
      </w:r>
      <w:r w:rsidRPr="0077190D">
        <w:rPr>
          <w:lang w:val="en-GB" w:eastAsia="x-none"/>
        </w:rPr>
        <w:t xml:space="preserve"> numerology/TTI lengths. It is already agreed that UE monitors the PDCCH occasions. The unit of these timers can be in </w:t>
      </w:r>
      <w:r w:rsidR="00FB1B0E">
        <w:rPr>
          <w:lang w:val="en-GB" w:eastAsia="x-none"/>
        </w:rPr>
        <w:t>time</w:t>
      </w:r>
      <w:r w:rsidRPr="0077190D">
        <w:rPr>
          <w:lang w:val="en-GB" w:eastAsia="x-none"/>
        </w:rPr>
        <w:t xml:space="preserve"> </w:t>
      </w:r>
      <w:r w:rsidR="00A22257" w:rsidRPr="0077190D">
        <w:rPr>
          <w:lang w:val="en-GB" w:eastAsia="x-none"/>
        </w:rPr>
        <w:t>slot</w:t>
      </w:r>
      <w:r w:rsidRPr="0077190D">
        <w:rPr>
          <w:lang w:val="en-GB" w:eastAsia="x-none"/>
        </w:rPr>
        <w:t xml:space="preserve"> to monitor the PDCCH occasions of a reference </w:t>
      </w:r>
      <w:r w:rsidR="00A22257" w:rsidRPr="0077190D">
        <w:rPr>
          <w:lang w:val="en-GB" w:eastAsia="x-none"/>
        </w:rPr>
        <w:t>numerology/</w:t>
      </w:r>
      <w:r w:rsidRPr="0077190D">
        <w:rPr>
          <w:lang w:val="en-GB" w:eastAsia="x-none"/>
        </w:rPr>
        <w:t xml:space="preserve">TTI. The reference TTI </w:t>
      </w:r>
      <w:r w:rsidR="00DF5E8E" w:rsidRPr="0077190D">
        <w:rPr>
          <w:lang w:val="en-GB" w:eastAsia="x-none"/>
        </w:rPr>
        <w:t>can</w:t>
      </w:r>
      <w:r w:rsidRPr="0077190D">
        <w:rPr>
          <w:lang w:val="en-GB" w:eastAsia="x-none"/>
        </w:rPr>
        <w:t xml:space="preserve"> be explicitly defined or pre-configured</w:t>
      </w:r>
      <w:r w:rsidR="00D1021A">
        <w:rPr>
          <w:lang w:val="en-GB" w:eastAsia="x-none"/>
        </w:rPr>
        <w:t xml:space="preserve"> per MAC entity</w:t>
      </w:r>
      <w:r w:rsidR="00C90D6F" w:rsidRPr="0077190D">
        <w:rPr>
          <w:lang w:val="en-GB" w:eastAsia="x-none"/>
        </w:rPr>
        <w:t xml:space="preserve"> to be one of the numerology/TTI in use</w:t>
      </w:r>
      <w:r w:rsidRPr="0077190D">
        <w:rPr>
          <w:lang w:val="en-GB" w:eastAsia="x-none"/>
        </w:rPr>
        <w:t xml:space="preserve"> by RRC. A </w:t>
      </w:r>
      <w:proofErr w:type="spellStart"/>
      <w:r w:rsidRPr="0077190D">
        <w:rPr>
          <w:lang w:val="en-GB" w:eastAsia="x-none"/>
        </w:rPr>
        <w:t>subframe</w:t>
      </w:r>
      <w:proofErr w:type="spellEnd"/>
      <w:r w:rsidRPr="0077190D">
        <w:rPr>
          <w:lang w:val="en-GB" w:eastAsia="x-none"/>
        </w:rPr>
        <w:t xml:space="preserve"> may contain multiple PDCCH</w:t>
      </w:r>
      <w:r w:rsidR="00FB1B0E">
        <w:rPr>
          <w:lang w:val="en-GB" w:eastAsia="x-none"/>
        </w:rPr>
        <w:t xml:space="preserve"> time</w:t>
      </w:r>
      <w:r w:rsidRPr="0077190D">
        <w:rPr>
          <w:lang w:val="en-GB" w:eastAsia="x-none"/>
        </w:rPr>
        <w:t xml:space="preserve"> slots</w:t>
      </w:r>
      <w:r w:rsidR="00C90D6F" w:rsidRPr="0077190D">
        <w:rPr>
          <w:lang w:val="en-GB" w:eastAsia="x-none"/>
        </w:rPr>
        <w:t>. It is also possible that the timers are independent of numerology/TTI</w:t>
      </w:r>
      <w:r w:rsidR="00A05895" w:rsidRPr="0077190D">
        <w:rPr>
          <w:lang w:val="en-GB" w:eastAsia="x-none"/>
        </w:rPr>
        <w:t>,</w:t>
      </w:r>
      <w:r w:rsidR="00C90D6F" w:rsidRPr="0077190D">
        <w:rPr>
          <w:lang w:val="en-GB" w:eastAsia="x-none"/>
        </w:rPr>
        <w:t xml:space="preserve"> which may not be suitable for UEs which support only very short TTI</w:t>
      </w:r>
      <w:r w:rsidRPr="0077190D">
        <w:rPr>
          <w:lang w:val="en-GB" w:eastAsia="x-none"/>
        </w:rPr>
        <w:t>.</w:t>
      </w:r>
      <w:r w:rsidR="000F1F20">
        <w:rPr>
          <w:lang w:val="en-GB" w:eastAsia="x-none"/>
        </w:rPr>
        <w:t xml:space="preserve"> </w:t>
      </w:r>
    </w:p>
    <w:p w14:paraId="709E7FDF" w14:textId="49317DDF" w:rsidR="006E3858" w:rsidRPr="003010EA" w:rsidRDefault="00D1021A" w:rsidP="006E3858">
      <w:pPr>
        <w:pStyle w:val="Recommend-1"/>
        <w:rPr>
          <w:b/>
          <w:lang w:val="en-GB"/>
        </w:rPr>
      </w:pPr>
      <w:bookmarkStart w:id="23" w:name="_Toc481772604"/>
      <w:bookmarkStart w:id="24" w:name="_Toc481772836"/>
      <w:bookmarkStart w:id="25" w:name="_Toc481784186"/>
      <w:bookmarkStart w:id="26" w:name="_Toc484621493"/>
      <w:bookmarkStart w:id="27" w:name="_Toc485214381"/>
      <w:bookmarkStart w:id="28" w:name="_Toc485216231"/>
      <w:bookmarkStart w:id="29" w:name="_Toc485406513"/>
      <w:bookmarkStart w:id="30" w:name="_Toc485406921"/>
      <w:bookmarkStart w:id="31" w:name="_Toc485410973"/>
      <w:bookmarkStart w:id="32" w:name="_Toc485411000"/>
      <w:bookmarkStart w:id="33" w:name="_Toc489542155"/>
      <w:bookmarkStart w:id="34" w:name="_Toc489625547"/>
      <w:bookmarkStart w:id="35" w:name="_Toc489634546"/>
      <w:bookmarkStart w:id="36" w:name="_Toc490126821"/>
      <w:bookmarkStart w:id="37" w:name="_Toc490248069"/>
      <w:bookmarkStart w:id="38" w:name="_Toc490248077"/>
      <w:bookmarkStart w:id="39" w:name="_Toc481772605"/>
      <w:bookmarkStart w:id="40" w:name="_Toc481772837"/>
      <w:bookmarkStart w:id="41" w:name="_Toc481594197"/>
      <w:bookmarkStart w:id="42" w:name="_Toc490250668"/>
      <w:bookmarkEnd w:id="23"/>
      <w:bookmarkEnd w:id="24"/>
      <w:r w:rsidRPr="003010EA">
        <w:rPr>
          <w:b/>
          <w:lang w:val="en-GB"/>
        </w:rPr>
        <w:lastRenderedPageBreak/>
        <w:t>T</w:t>
      </w:r>
      <w:r w:rsidR="00DF5E8E" w:rsidRPr="003010EA">
        <w:rPr>
          <w:b/>
          <w:lang w:val="en-GB"/>
        </w:rPr>
        <w:t>he</w:t>
      </w:r>
      <w:r w:rsidR="00DF5E8E" w:rsidRPr="003010EA" w:rsidDel="001A0D01">
        <w:rPr>
          <w:b/>
          <w:lang w:val="en-GB"/>
        </w:rPr>
        <w:t xml:space="preserve"> </w:t>
      </w:r>
      <w:bookmarkStart w:id="43" w:name="_Toc481772429"/>
      <w:r w:rsidR="001A0D01" w:rsidRPr="003010EA">
        <w:rPr>
          <w:b/>
          <w:lang w:val="en-GB"/>
        </w:rPr>
        <w:t>u</w:t>
      </w:r>
      <w:r w:rsidR="006E3858" w:rsidRPr="003010EA">
        <w:rPr>
          <w:b/>
          <w:lang w:val="en-GB"/>
        </w:rPr>
        <w:t xml:space="preserve">nit of ON duration timer and DRX inactivity timer </w:t>
      </w:r>
      <w:r w:rsidRPr="003010EA">
        <w:rPr>
          <w:b/>
          <w:lang w:val="en-GB"/>
        </w:rPr>
        <w:t xml:space="preserve">is in number of </w:t>
      </w:r>
      <w:r w:rsidR="00FB1B0E">
        <w:rPr>
          <w:b/>
          <w:lang w:val="en-GB"/>
        </w:rPr>
        <w:t>time</w:t>
      </w:r>
      <w:r w:rsidRPr="003010EA">
        <w:rPr>
          <w:b/>
          <w:lang w:val="en-GB"/>
        </w:rPr>
        <w:t xml:space="preserve"> slot</w:t>
      </w:r>
      <w:r w:rsidR="003D57A0" w:rsidRPr="003010EA">
        <w:rPr>
          <w:b/>
          <w:lang w:val="en-GB"/>
        </w:rPr>
        <w:t>s</w:t>
      </w:r>
      <w:r w:rsidRPr="003010EA">
        <w:rPr>
          <w:b/>
          <w:lang w:val="en-GB"/>
        </w:rPr>
        <w:t xml:space="preserve"> </w:t>
      </w:r>
      <w:r w:rsidR="001A0D01" w:rsidRPr="003010EA">
        <w:rPr>
          <w:b/>
          <w:lang w:val="en-GB"/>
        </w:rPr>
        <w:t xml:space="preserve">of </w:t>
      </w:r>
      <w:r w:rsidRPr="003010EA">
        <w:rPr>
          <w:b/>
          <w:lang w:val="en-GB"/>
        </w:rPr>
        <w:t>the reference numerology</w:t>
      </w:r>
      <w:r w:rsidR="001A0D01" w:rsidRPr="003010EA">
        <w:rPr>
          <w:b/>
          <w:lang w:val="en-GB"/>
        </w:rP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2"/>
      <w:r w:rsidR="00F73BA4" w:rsidRPr="003010EA">
        <w:rPr>
          <w:b/>
          <w:lang w:val="en-GB"/>
        </w:rPr>
        <w:t xml:space="preserve"> </w:t>
      </w:r>
      <w:bookmarkEnd w:id="39"/>
      <w:bookmarkEnd w:id="40"/>
      <w:bookmarkEnd w:id="41"/>
      <w:bookmarkEnd w:id="43"/>
    </w:p>
    <w:p w14:paraId="0B9C79D6" w14:textId="0E257F6B" w:rsidR="006E3858" w:rsidRPr="0077190D" w:rsidRDefault="006E3858" w:rsidP="006E3858">
      <w:pPr>
        <w:rPr>
          <w:lang w:val="en-GB"/>
        </w:rPr>
      </w:pPr>
      <w:r w:rsidRPr="0077190D">
        <w:rPr>
          <w:lang w:val="en-GB"/>
        </w:rPr>
        <w:t>Following agreements were made by RAN2 in the shortened TTI discussions for LTE [1</w:t>
      </w:r>
      <w:r w:rsidR="0041666B" w:rsidRPr="0077190D">
        <w:rPr>
          <w:lang w:val="en-GB"/>
        </w:rPr>
        <w:t>]</w:t>
      </w:r>
      <w:r w:rsidR="0041666B">
        <w:rPr>
          <w:lang w:val="en-GB"/>
        </w:rPr>
        <w:t xml:space="preserve"> [</w:t>
      </w:r>
      <w:r w:rsidR="00FF1ED1">
        <w:rPr>
          <w:lang w:val="en-GB"/>
        </w:rPr>
        <w:t>2]</w:t>
      </w:r>
    </w:p>
    <w:p w14:paraId="0CFAC8E8" w14:textId="3B58DE04" w:rsidR="006E3858" w:rsidRDefault="006E3858" w:rsidP="0041666B">
      <w:pPr>
        <w:numPr>
          <w:ilvl w:val="0"/>
          <w:numId w:val="20"/>
        </w:numPr>
        <w:pBdr>
          <w:top w:val="single" w:sz="4" w:space="1" w:color="auto"/>
          <w:left w:val="single" w:sz="4" w:space="4" w:color="auto"/>
          <w:bottom w:val="single" w:sz="4" w:space="0" w:color="auto"/>
          <w:right w:val="single" w:sz="4" w:space="4" w:color="auto"/>
        </w:pBdr>
        <w:tabs>
          <w:tab w:val="left" w:pos="450"/>
        </w:tabs>
        <w:overflowPunct/>
        <w:autoSpaceDE/>
        <w:autoSpaceDN/>
        <w:adjustRightInd/>
        <w:spacing w:before="40" w:after="0"/>
        <w:rPr>
          <w:bCs/>
          <w:i/>
          <w:noProof/>
        </w:rPr>
      </w:pPr>
      <w:r w:rsidRPr="0077190D">
        <w:rPr>
          <w:b/>
          <w:i/>
          <w:lang w:eastAsia="zh-CN"/>
        </w:rPr>
        <w:t xml:space="preserve"> </w:t>
      </w:r>
      <w:r w:rsidRPr="0077190D">
        <w:rPr>
          <w:bCs/>
          <w:i/>
          <w:noProof/>
        </w:rPr>
        <w:t>The unit for</w:t>
      </w:r>
      <w:r w:rsidRPr="0077190D">
        <w:rPr>
          <w:b/>
          <w:bCs/>
          <w:i/>
          <w:noProof/>
        </w:rPr>
        <w:t xml:space="preserve"> drx-RetransmissionTimer, </w:t>
      </w:r>
      <w:proofErr w:type="spellStart"/>
      <w:r w:rsidRPr="0077190D">
        <w:rPr>
          <w:b/>
          <w:i/>
        </w:rPr>
        <w:t>drx-ULRetransmissionTimer</w:t>
      </w:r>
      <w:proofErr w:type="spellEnd"/>
      <w:r w:rsidRPr="0077190D">
        <w:rPr>
          <w:bCs/>
          <w:i/>
          <w:noProof/>
        </w:rPr>
        <w:t xml:space="preserve"> counting is same as the HARQ RTT time expiry that starts the retransmission time, i.e. depending on the TTI length of the TB that is under retransmission.</w:t>
      </w:r>
      <w:r w:rsidR="00D1021A">
        <w:rPr>
          <w:bCs/>
          <w:i/>
          <w:noProof/>
        </w:rPr>
        <w:t xml:space="preserve"> </w:t>
      </w:r>
    </w:p>
    <w:p w14:paraId="68C267ED" w14:textId="0519DF1F" w:rsidR="0041666B" w:rsidRPr="0077190D" w:rsidRDefault="0041666B" w:rsidP="0041666B">
      <w:pPr>
        <w:numPr>
          <w:ilvl w:val="0"/>
          <w:numId w:val="20"/>
        </w:numPr>
        <w:pBdr>
          <w:top w:val="single" w:sz="4" w:space="1" w:color="auto"/>
          <w:left w:val="single" w:sz="4" w:space="4" w:color="auto"/>
          <w:bottom w:val="single" w:sz="4" w:space="0" w:color="auto"/>
          <w:right w:val="single" w:sz="4" w:space="4" w:color="auto"/>
        </w:pBdr>
        <w:tabs>
          <w:tab w:val="left" w:pos="450"/>
        </w:tabs>
        <w:overflowPunct/>
        <w:autoSpaceDE/>
        <w:autoSpaceDN/>
        <w:adjustRightInd/>
        <w:spacing w:before="40" w:after="0"/>
        <w:rPr>
          <w:bCs/>
          <w:i/>
          <w:noProof/>
        </w:rPr>
      </w:pPr>
      <w:proofErr w:type="spellStart"/>
      <w:r w:rsidRPr="0041666B">
        <w:rPr>
          <w:rFonts w:cs="Arial"/>
          <w:b/>
          <w:i/>
          <w:lang w:eastAsia="ko-KR"/>
        </w:rPr>
        <w:t>drx-RetransmissionTimer</w:t>
      </w:r>
      <w:proofErr w:type="spellEnd"/>
      <w:r>
        <w:rPr>
          <w:rFonts w:cs="Arial"/>
          <w:lang w:eastAsia="ko-KR"/>
        </w:rPr>
        <w:t xml:space="preserve">, and </w:t>
      </w:r>
      <w:proofErr w:type="spellStart"/>
      <w:r w:rsidRPr="0041666B">
        <w:rPr>
          <w:rFonts w:cs="Arial"/>
          <w:b/>
          <w:i/>
          <w:lang w:eastAsia="ko-KR"/>
        </w:rPr>
        <w:t>drx-ULRetransmissionTimer</w:t>
      </w:r>
      <w:proofErr w:type="spellEnd"/>
      <w:r>
        <w:rPr>
          <w:rFonts w:cs="Arial"/>
          <w:i/>
          <w:lang w:eastAsia="ko-KR"/>
        </w:rPr>
        <w:t xml:space="preserve"> </w:t>
      </w:r>
      <w:r>
        <w:rPr>
          <w:rFonts w:cs="Arial"/>
          <w:lang w:eastAsia="ko-KR"/>
        </w:rPr>
        <w:t xml:space="preserve">for </w:t>
      </w:r>
      <w:proofErr w:type="spellStart"/>
      <w:r>
        <w:rPr>
          <w:rFonts w:cs="Arial"/>
          <w:lang w:eastAsia="ko-KR"/>
        </w:rPr>
        <w:t>sTTI</w:t>
      </w:r>
      <w:proofErr w:type="spellEnd"/>
      <w:r>
        <w:rPr>
          <w:rFonts w:cs="Arial"/>
          <w:lang w:eastAsia="ko-KR"/>
        </w:rPr>
        <w:t xml:space="preserve"> can be configured independently</w:t>
      </w:r>
    </w:p>
    <w:p w14:paraId="0BFA2EAC" w14:textId="77777777" w:rsidR="006E3858" w:rsidRPr="0041666B" w:rsidRDefault="006E3858" w:rsidP="0041666B">
      <w:pPr>
        <w:numPr>
          <w:ilvl w:val="0"/>
          <w:numId w:val="20"/>
        </w:numPr>
        <w:pBdr>
          <w:top w:val="single" w:sz="4" w:space="1" w:color="auto"/>
          <w:left w:val="single" w:sz="4" w:space="4" w:color="auto"/>
          <w:bottom w:val="single" w:sz="4" w:space="0" w:color="auto"/>
          <w:right w:val="single" w:sz="4" w:space="4" w:color="auto"/>
        </w:pBdr>
        <w:tabs>
          <w:tab w:val="left" w:pos="450"/>
        </w:tabs>
        <w:overflowPunct/>
        <w:autoSpaceDE/>
        <w:autoSpaceDN/>
        <w:adjustRightInd/>
        <w:spacing w:before="40" w:after="0"/>
        <w:rPr>
          <w:lang w:val="en-GB"/>
        </w:rPr>
      </w:pPr>
      <w:r w:rsidRPr="0077190D">
        <w:rPr>
          <w:bCs/>
          <w:i/>
          <w:noProof/>
        </w:rPr>
        <w:t xml:space="preserve">Legacy </w:t>
      </w:r>
      <w:r w:rsidRPr="0077190D">
        <w:rPr>
          <w:b/>
          <w:bCs/>
          <w:i/>
          <w:noProof/>
        </w:rPr>
        <w:t xml:space="preserve">DRX Cycle </w:t>
      </w:r>
      <w:r w:rsidRPr="0077190D">
        <w:rPr>
          <w:bCs/>
          <w:i/>
          <w:noProof/>
        </w:rPr>
        <w:t>and</w:t>
      </w:r>
      <w:r w:rsidRPr="0077190D">
        <w:rPr>
          <w:b/>
          <w:bCs/>
          <w:i/>
          <w:noProof/>
        </w:rPr>
        <w:t xml:space="preserve"> drxShortCycleTimer</w:t>
      </w:r>
      <w:r w:rsidRPr="0077190D">
        <w:rPr>
          <w:bCs/>
          <w:i/>
          <w:noProof/>
        </w:rPr>
        <w:t xml:space="preserve"> are in number of subframes regardless of which TTI length is used.</w:t>
      </w:r>
    </w:p>
    <w:p w14:paraId="17707FA8" w14:textId="0BF34AAA" w:rsidR="0041666B" w:rsidRPr="0041666B" w:rsidRDefault="0041666B" w:rsidP="0041666B">
      <w:pPr>
        <w:numPr>
          <w:ilvl w:val="0"/>
          <w:numId w:val="20"/>
        </w:numPr>
        <w:pBdr>
          <w:top w:val="single" w:sz="4" w:space="1" w:color="auto"/>
          <w:left w:val="single" w:sz="4" w:space="4" w:color="auto"/>
          <w:bottom w:val="single" w:sz="4" w:space="0" w:color="auto"/>
          <w:right w:val="single" w:sz="4" w:space="4" w:color="auto"/>
        </w:pBdr>
        <w:tabs>
          <w:tab w:val="left" w:pos="450"/>
        </w:tabs>
        <w:overflowPunct/>
        <w:autoSpaceDE/>
        <w:autoSpaceDN/>
        <w:adjustRightInd/>
        <w:spacing w:before="40" w:after="0"/>
        <w:rPr>
          <w:lang w:val="en-GB"/>
        </w:rPr>
      </w:pPr>
      <w:r w:rsidRPr="0041666B">
        <w:rPr>
          <w:rFonts w:eastAsia="MS Mincho"/>
          <w:i/>
          <w:szCs w:val="24"/>
          <w:lang w:eastAsia="en-GB"/>
        </w:rPr>
        <w:t xml:space="preserve">Legacy </w:t>
      </w:r>
      <w:r w:rsidRPr="0041666B">
        <w:rPr>
          <w:rFonts w:eastAsia="MS Mincho"/>
          <w:b/>
          <w:bCs/>
          <w:i/>
          <w:noProof/>
          <w:szCs w:val="24"/>
          <w:lang w:eastAsia="en-GB"/>
        </w:rPr>
        <w:t>onDurationTimer</w:t>
      </w:r>
      <w:r w:rsidRPr="0041666B">
        <w:rPr>
          <w:rFonts w:eastAsia="MS Mincho"/>
          <w:bCs/>
          <w:i/>
          <w:noProof/>
          <w:szCs w:val="24"/>
          <w:lang w:eastAsia="en-GB"/>
        </w:rPr>
        <w:t xml:space="preserve"> and</w:t>
      </w:r>
      <w:r w:rsidRPr="0041666B">
        <w:rPr>
          <w:rFonts w:eastAsia="MS Mincho"/>
          <w:b/>
          <w:bCs/>
          <w:i/>
          <w:noProof/>
          <w:szCs w:val="24"/>
          <w:lang w:eastAsia="en-GB"/>
        </w:rPr>
        <w:t xml:space="preserve"> drx-InactivityTimer</w:t>
      </w:r>
      <w:r w:rsidRPr="0041666B">
        <w:rPr>
          <w:rFonts w:eastAsia="MS Mincho"/>
          <w:i/>
          <w:szCs w:val="24"/>
          <w:lang w:eastAsia="en-GB"/>
        </w:rPr>
        <w:t xml:space="preserve"> counts number of PDCCH-</w:t>
      </w:r>
      <w:proofErr w:type="spellStart"/>
      <w:r w:rsidRPr="0041666B">
        <w:rPr>
          <w:rFonts w:eastAsia="MS Mincho"/>
          <w:i/>
          <w:szCs w:val="24"/>
          <w:lang w:eastAsia="en-GB"/>
        </w:rPr>
        <w:t>subframes</w:t>
      </w:r>
      <w:proofErr w:type="spellEnd"/>
      <w:r w:rsidRPr="0041666B">
        <w:rPr>
          <w:rFonts w:eastAsia="MS Mincho"/>
          <w:i/>
          <w:szCs w:val="24"/>
          <w:lang w:eastAsia="en-GB"/>
        </w:rPr>
        <w:t xml:space="preserve"> regardless of which TTI length is used.</w:t>
      </w:r>
    </w:p>
    <w:p w14:paraId="119E5C60" w14:textId="034A91B7" w:rsidR="0041666B" w:rsidRPr="0041666B" w:rsidRDefault="0041666B" w:rsidP="0041666B">
      <w:pPr>
        <w:numPr>
          <w:ilvl w:val="0"/>
          <w:numId w:val="20"/>
        </w:numPr>
        <w:pBdr>
          <w:top w:val="single" w:sz="4" w:space="1" w:color="auto"/>
          <w:left w:val="single" w:sz="4" w:space="4" w:color="auto"/>
          <w:bottom w:val="single" w:sz="4" w:space="0" w:color="auto"/>
          <w:right w:val="single" w:sz="4" w:space="4" w:color="auto"/>
        </w:pBdr>
        <w:tabs>
          <w:tab w:val="left" w:pos="450"/>
        </w:tabs>
        <w:overflowPunct/>
        <w:autoSpaceDE/>
        <w:autoSpaceDN/>
        <w:adjustRightInd/>
        <w:spacing w:before="40" w:after="0"/>
        <w:rPr>
          <w:i/>
          <w:lang w:val="en-GB"/>
        </w:rPr>
      </w:pPr>
      <w:r w:rsidRPr="0041666B">
        <w:rPr>
          <w:i/>
        </w:rPr>
        <w:t xml:space="preserve">A single </w:t>
      </w:r>
      <w:proofErr w:type="spellStart"/>
      <w:r w:rsidRPr="0041666B">
        <w:rPr>
          <w:b/>
          <w:i/>
        </w:rPr>
        <w:t>drx-InactivityTimer</w:t>
      </w:r>
      <w:proofErr w:type="spellEnd"/>
      <w:r w:rsidRPr="0041666B">
        <w:rPr>
          <w:i/>
        </w:rPr>
        <w:t xml:space="preserve">, DRX Cycle is configured.  </w:t>
      </w:r>
    </w:p>
    <w:p w14:paraId="17DD2D6A" w14:textId="085754D7" w:rsidR="006E3858" w:rsidRPr="0077190D" w:rsidRDefault="006E3858" w:rsidP="006E3858">
      <w:pPr>
        <w:rPr>
          <w:lang w:val="en-GB"/>
        </w:rPr>
      </w:pPr>
      <w:r w:rsidRPr="0077190D">
        <w:rPr>
          <w:lang w:val="en-GB"/>
        </w:rPr>
        <w:t xml:space="preserve">These agreements are also relevant to NR as a UE can support multiple TTIs. Since DRX retransmission timer is specific to a HARQ process, the unit needs to be same as that of HARQ RTT timer. The HARQ RTT timer depends on the processing time of a TB and the processing time may not be in the granularity of a </w:t>
      </w:r>
      <w:proofErr w:type="spellStart"/>
      <w:r w:rsidRPr="0077190D">
        <w:rPr>
          <w:lang w:val="en-GB"/>
        </w:rPr>
        <w:t>subframe</w:t>
      </w:r>
      <w:proofErr w:type="spellEnd"/>
      <w:r w:rsidRPr="0077190D">
        <w:rPr>
          <w:lang w:val="en-GB"/>
        </w:rPr>
        <w:t>. It can be in the number of TTI length of the TB that triggered the HARQ RTT timer.</w:t>
      </w:r>
      <w:r w:rsidR="00D42EE8">
        <w:rPr>
          <w:lang w:val="en-GB"/>
        </w:rPr>
        <w:t xml:space="preserve"> For example, for a TB with HARQ process 0, the DRX retransmission timer can be x TTI of the TB and for another TB with HARQ process 1, the DRX retransmission timer can be y TTI of the TB.</w:t>
      </w:r>
    </w:p>
    <w:p w14:paraId="1B240670" w14:textId="6C703683" w:rsidR="006E3858" w:rsidRPr="003265A3" w:rsidRDefault="006E3858" w:rsidP="006E3858">
      <w:pPr>
        <w:pStyle w:val="Recommend-1"/>
        <w:rPr>
          <w:b/>
          <w:lang w:val="en-GB"/>
        </w:rPr>
      </w:pPr>
      <w:bookmarkStart w:id="44" w:name="_Toc481594198"/>
      <w:bookmarkStart w:id="45" w:name="_Toc481772430"/>
      <w:bookmarkStart w:id="46" w:name="_Toc481772606"/>
      <w:bookmarkStart w:id="47" w:name="_Toc481772838"/>
      <w:bookmarkStart w:id="48" w:name="_Toc481784187"/>
      <w:bookmarkStart w:id="49" w:name="_Toc484621494"/>
      <w:bookmarkStart w:id="50" w:name="_Toc485214382"/>
      <w:bookmarkStart w:id="51" w:name="_Toc485216232"/>
      <w:bookmarkStart w:id="52" w:name="_Toc485406514"/>
      <w:bookmarkStart w:id="53" w:name="_Toc485406922"/>
      <w:bookmarkStart w:id="54" w:name="_Toc485410974"/>
      <w:bookmarkStart w:id="55" w:name="_Toc485411001"/>
      <w:bookmarkStart w:id="56" w:name="_Toc489542156"/>
      <w:bookmarkStart w:id="57" w:name="_Toc489625548"/>
      <w:bookmarkStart w:id="58" w:name="_Toc489634547"/>
      <w:bookmarkStart w:id="59" w:name="_Toc490126822"/>
      <w:bookmarkStart w:id="60" w:name="_Toc490248070"/>
      <w:bookmarkStart w:id="61" w:name="_Toc490248078"/>
      <w:bookmarkStart w:id="62" w:name="_Toc490250669"/>
      <w:r w:rsidRPr="003265A3">
        <w:rPr>
          <w:b/>
          <w:lang w:val="en-GB"/>
        </w:rPr>
        <w:t>Unit of DRX retransmission timers</w:t>
      </w:r>
      <w:r w:rsidR="00DF5E8E" w:rsidRPr="003265A3">
        <w:rPr>
          <w:b/>
          <w:lang w:val="en-GB"/>
        </w:rPr>
        <w:t xml:space="preserve"> </w:t>
      </w:r>
      <w:r w:rsidRPr="003265A3">
        <w:rPr>
          <w:b/>
          <w:lang w:val="en-GB"/>
        </w:rPr>
        <w:t xml:space="preserve">is </w:t>
      </w:r>
      <w:r w:rsidR="002A2AF2" w:rsidRPr="003265A3">
        <w:rPr>
          <w:b/>
          <w:lang w:val="en-GB"/>
        </w:rPr>
        <w:t>in the number of the TTI length of the TB</w:t>
      </w:r>
      <w:r w:rsidR="00DF5E8E" w:rsidRPr="003265A3">
        <w:rPr>
          <w:b/>
          <w:lang w:val="en-GB"/>
        </w:rPr>
        <w:t xml:space="preserve"> that start</w:t>
      </w:r>
      <w:r w:rsidR="002A2AF2" w:rsidRPr="003265A3">
        <w:rPr>
          <w:b/>
          <w:lang w:val="en-GB"/>
        </w:rPr>
        <w:t>ed</w:t>
      </w:r>
      <w:r w:rsidR="00DF5E8E" w:rsidRPr="003265A3">
        <w:rPr>
          <w:b/>
          <w:lang w:val="en-GB"/>
        </w:rPr>
        <w:t xml:space="preserve"> the retransmission timer</w:t>
      </w:r>
      <w:r w:rsidRPr="003265A3">
        <w:rPr>
          <w:b/>
          <w:lang w:val="en-GB"/>
        </w:rPr>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017C2BD" w14:textId="76A2B3FF" w:rsidR="006E3858" w:rsidRPr="0077190D" w:rsidRDefault="006E3858" w:rsidP="006E3858">
      <w:pPr>
        <w:rPr>
          <w:lang w:val="en-GB"/>
        </w:rPr>
      </w:pPr>
      <w:r w:rsidRPr="0077190D">
        <w:rPr>
          <w:lang w:val="en-GB"/>
        </w:rPr>
        <w:t xml:space="preserve">The length of the DRX cycle is specific to a MAC entity. Similar to LTE, the unit of the short and long DRX cycles can be in the number of </w:t>
      </w:r>
      <w:proofErr w:type="spellStart"/>
      <w:r w:rsidRPr="0077190D">
        <w:rPr>
          <w:lang w:val="en-GB"/>
        </w:rPr>
        <w:t>subframes</w:t>
      </w:r>
      <w:proofErr w:type="spellEnd"/>
      <w:r w:rsidRPr="0077190D">
        <w:rPr>
          <w:lang w:val="en-GB"/>
        </w:rPr>
        <w:t>.</w:t>
      </w:r>
    </w:p>
    <w:p w14:paraId="3A96B483" w14:textId="458EB00F" w:rsidR="006E3858" w:rsidRPr="003265A3" w:rsidRDefault="006E3858" w:rsidP="006E3858">
      <w:pPr>
        <w:pStyle w:val="Recommend-1"/>
        <w:rPr>
          <w:b/>
          <w:lang w:val="en-GB"/>
        </w:rPr>
      </w:pPr>
      <w:bookmarkStart w:id="63" w:name="_Toc481594199"/>
      <w:bookmarkStart w:id="64" w:name="_Toc481772431"/>
      <w:bookmarkStart w:id="65" w:name="_Toc481772607"/>
      <w:bookmarkStart w:id="66" w:name="_Toc481772839"/>
      <w:bookmarkStart w:id="67" w:name="_Toc481784188"/>
      <w:bookmarkStart w:id="68" w:name="_Toc484621495"/>
      <w:bookmarkStart w:id="69" w:name="_Toc485214383"/>
      <w:bookmarkStart w:id="70" w:name="_Toc485216233"/>
      <w:bookmarkStart w:id="71" w:name="_Toc485406515"/>
      <w:bookmarkStart w:id="72" w:name="_Toc485406923"/>
      <w:bookmarkStart w:id="73" w:name="_Toc485410975"/>
      <w:bookmarkStart w:id="74" w:name="_Toc485411002"/>
      <w:bookmarkStart w:id="75" w:name="_Toc489542157"/>
      <w:bookmarkStart w:id="76" w:name="_Toc489625549"/>
      <w:bookmarkStart w:id="77" w:name="_Toc489634548"/>
      <w:bookmarkStart w:id="78" w:name="_Toc490126823"/>
      <w:bookmarkStart w:id="79" w:name="_Toc490248071"/>
      <w:bookmarkStart w:id="80" w:name="_Toc490248079"/>
      <w:bookmarkStart w:id="81" w:name="_Toc490250670"/>
      <w:r w:rsidRPr="003265A3">
        <w:rPr>
          <w:b/>
          <w:lang w:val="en-GB"/>
        </w:rPr>
        <w:t xml:space="preserve">Unit of short and long DRX cycles is in the number of </w:t>
      </w:r>
      <w:proofErr w:type="spellStart"/>
      <w:r w:rsidRPr="003265A3">
        <w:rPr>
          <w:b/>
          <w:lang w:val="en-GB"/>
        </w:rPr>
        <w:t>subframes</w:t>
      </w:r>
      <w:bookmarkEnd w:id="63"/>
      <w:bookmarkEnd w:id="64"/>
      <w:bookmarkEnd w:id="65"/>
      <w:bookmarkEnd w:id="66"/>
      <w:bookmarkEnd w:id="67"/>
      <w:bookmarkEnd w:id="68"/>
      <w:proofErr w:type="spellEnd"/>
      <w:r w:rsidR="00D1021A" w:rsidRPr="003265A3">
        <w:rPr>
          <w:b/>
          <w:lang w:val="en-GB"/>
        </w:rPr>
        <w:t>.</w:t>
      </w:r>
      <w:bookmarkEnd w:id="69"/>
      <w:bookmarkEnd w:id="70"/>
      <w:bookmarkEnd w:id="71"/>
      <w:bookmarkEnd w:id="72"/>
      <w:bookmarkEnd w:id="73"/>
      <w:bookmarkEnd w:id="74"/>
      <w:bookmarkEnd w:id="75"/>
      <w:bookmarkEnd w:id="76"/>
      <w:bookmarkEnd w:id="77"/>
      <w:bookmarkEnd w:id="78"/>
      <w:bookmarkEnd w:id="79"/>
      <w:bookmarkEnd w:id="80"/>
      <w:bookmarkEnd w:id="81"/>
    </w:p>
    <w:p w14:paraId="3397D773" w14:textId="5BF036AF" w:rsidR="00481568" w:rsidRPr="00FF1ED1" w:rsidRDefault="00A035CA" w:rsidP="00A035CA">
      <w:pPr>
        <w:pStyle w:val="Heading2"/>
      </w:pPr>
      <w:r w:rsidRPr="00FF1ED1">
        <w:t>HARQ RTT timer</w:t>
      </w:r>
    </w:p>
    <w:p w14:paraId="2FBCFDB4" w14:textId="3DB792C4" w:rsidR="0095408E" w:rsidRPr="00FF1ED1" w:rsidRDefault="0095408E" w:rsidP="0095408E">
      <w:pPr>
        <w:rPr>
          <w:lang w:val="en-GB" w:eastAsia="x-none"/>
        </w:rPr>
      </w:pPr>
      <w:r w:rsidRPr="00FF1ED1">
        <w:rPr>
          <w:lang w:val="en-GB" w:eastAsia="x-none"/>
        </w:rPr>
        <w:t xml:space="preserve">In LTE legacy DRX procedure, UE starts the HARQ RTT or UL HARQ RTT timer upon data reception in PDSCH or transmission in PUSCH. There is a gap between PUSCH transmission and UL grant reception or PDSCH reception and a DL assignment. During this gap a UE is not required to </w:t>
      </w:r>
      <w:r w:rsidR="006E2C6B" w:rsidRPr="00FF1ED1">
        <w:rPr>
          <w:lang w:val="en-GB" w:eastAsia="x-none"/>
        </w:rPr>
        <w:t>receive anything for the HARQ process</w:t>
      </w:r>
      <w:r w:rsidRPr="00FF1ED1">
        <w:rPr>
          <w:lang w:val="en-GB" w:eastAsia="x-none"/>
        </w:rPr>
        <w:t xml:space="preserve">, so a HARQ RTT timer of 8 </w:t>
      </w:r>
      <w:proofErr w:type="spellStart"/>
      <w:r w:rsidRPr="00FF1ED1">
        <w:rPr>
          <w:lang w:val="en-GB" w:eastAsia="x-none"/>
        </w:rPr>
        <w:t>subframe</w:t>
      </w:r>
      <w:proofErr w:type="spellEnd"/>
      <w:r w:rsidRPr="00FF1ED1">
        <w:rPr>
          <w:lang w:val="en-GB" w:eastAsia="x-none"/>
        </w:rPr>
        <w:t xml:space="preserve"> or UL HARQ RTT t</w:t>
      </w:r>
      <w:r w:rsidR="00F05897" w:rsidRPr="00FF1ED1">
        <w:rPr>
          <w:lang w:val="en-GB" w:eastAsia="x-none"/>
        </w:rPr>
        <w:t xml:space="preserve">imer of 4 </w:t>
      </w:r>
      <w:proofErr w:type="spellStart"/>
      <w:r w:rsidR="00F05897" w:rsidRPr="00FF1ED1">
        <w:rPr>
          <w:lang w:val="en-GB" w:eastAsia="x-none"/>
        </w:rPr>
        <w:t>subframes</w:t>
      </w:r>
      <w:proofErr w:type="spellEnd"/>
      <w:r w:rsidR="00F05897" w:rsidRPr="00FF1ED1">
        <w:rPr>
          <w:lang w:val="en-GB" w:eastAsia="x-none"/>
        </w:rPr>
        <w:t xml:space="preserve"> is started and hence saves power </w:t>
      </w:r>
      <w:r w:rsidR="006E2C6B" w:rsidRPr="00FF1ED1">
        <w:rPr>
          <w:lang w:val="en-GB" w:eastAsia="x-none"/>
        </w:rPr>
        <w:t>in case DRX inactivity timer has already expired</w:t>
      </w:r>
      <w:r w:rsidRPr="00FF1ED1">
        <w:rPr>
          <w:lang w:val="en-GB" w:eastAsia="x-none"/>
        </w:rPr>
        <w:t>.</w:t>
      </w:r>
    </w:p>
    <w:p w14:paraId="2802F8E4" w14:textId="2CDF3046" w:rsidR="0095408E" w:rsidRPr="00FF1ED1" w:rsidRDefault="0095408E" w:rsidP="0095408E">
      <w:pPr>
        <w:rPr>
          <w:lang w:val="en-GB" w:eastAsia="x-none"/>
        </w:rPr>
      </w:pPr>
      <w:r w:rsidRPr="00FF1ED1">
        <w:rPr>
          <w:lang w:val="en-GB" w:eastAsia="x-none"/>
        </w:rPr>
        <w:t>In NR, both the UL and DL HARQ processes are asynchronous</w:t>
      </w:r>
      <w:r w:rsidR="00DA6E94" w:rsidRPr="00FF1ED1">
        <w:rPr>
          <w:lang w:val="en-GB" w:eastAsia="x-none"/>
        </w:rPr>
        <w:t xml:space="preserve"> and</w:t>
      </w:r>
      <w:r w:rsidRPr="00FF1ED1">
        <w:rPr>
          <w:lang w:val="en-GB" w:eastAsia="x-none"/>
        </w:rPr>
        <w:t xml:space="preserve"> there would still be a gap </w:t>
      </w:r>
      <w:r w:rsidR="00DA6E94" w:rsidRPr="00FF1ED1">
        <w:rPr>
          <w:lang w:val="en-GB" w:eastAsia="x-none"/>
        </w:rPr>
        <w:t>for HARQ feedback timings</w:t>
      </w:r>
      <w:r w:rsidRPr="00FF1ED1">
        <w:rPr>
          <w:lang w:val="en-GB" w:eastAsia="x-none"/>
        </w:rPr>
        <w:t>.</w:t>
      </w:r>
      <w:r w:rsidR="00DA6E94" w:rsidRPr="00FF1ED1">
        <w:rPr>
          <w:lang w:val="en-GB" w:eastAsia="x-none"/>
        </w:rPr>
        <w:t xml:space="preserve"> In some scenario</w:t>
      </w:r>
      <w:r w:rsidR="006A5477" w:rsidRPr="00FF1ED1">
        <w:rPr>
          <w:lang w:val="en-GB" w:eastAsia="x-none"/>
        </w:rPr>
        <w:t xml:space="preserve"> where </w:t>
      </w:r>
      <w:r w:rsidR="00DA6E94" w:rsidRPr="00FF1ED1">
        <w:rPr>
          <w:lang w:val="en-GB" w:eastAsia="x-none"/>
        </w:rPr>
        <w:t>timing between DL data reception and its HARQ feedback</w:t>
      </w:r>
      <w:r w:rsidR="006A5477" w:rsidRPr="00FF1ED1">
        <w:rPr>
          <w:lang w:val="en-GB" w:eastAsia="x-none"/>
        </w:rPr>
        <w:t xml:space="preserve"> (K1)</w:t>
      </w:r>
      <w:r w:rsidR="00DA6E94" w:rsidRPr="00FF1ED1">
        <w:rPr>
          <w:lang w:val="en-GB" w:eastAsia="x-none"/>
        </w:rPr>
        <w:t xml:space="preserve"> may be zero</w:t>
      </w:r>
      <w:r w:rsidR="006A5477" w:rsidRPr="00FF1ED1">
        <w:rPr>
          <w:lang w:val="en-GB" w:eastAsia="x-none"/>
        </w:rPr>
        <w:t xml:space="preserve"> based on RAN1 agreement that </w:t>
      </w:r>
      <w:r w:rsidR="006E2C6B" w:rsidRPr="00FF1ED1">
        <w:rPr>
          <w:lang w:val="en-GB" w:eastAsia="x-none"/>
        </w:rPr>
        <w:t xml:space="preserve">some UEs may support K1 = 0 </w:t>
      </w:r>
      <w:r w:rsidR="006A5477" w:rsidRPr="00FF1ED1">
        <w:rPr>
          <w:lang w:val="en-GB" w:eastAsia="x-none"/>
        </w:rPr>
        <w:t>[</w:t>
      </w:r>
      <w:r w:rsidR="00FF1ED1">
        <w:rPr>
          <w:lang w:val="en-GB" w:eastAsia="x-none"/>
        </w:rPr>
        <w:t>3</w:t>
      </w:r>
      <w:r w:rsidR="006A5477" w:rsidRPr="00FF1ED1">
        <w:rPr>
          <w:lang w:val="en-GB" w:eastAsia="x-none"/>
        </w:rPr>
        <w:t>]</w:t>
      </w:r>
      <w:r w:rsidR="00DA6E94" w:rsidRPr="00FF1ED1">
        <w:rPr>
          <w:lang w:val="en-GB" w:eastAsia="x-none"/>
        </w:rPr>
        <w:t xml:space="preserve">, </w:t>
      </w:r>
      <w:r w:rsidR="00A10A77" w:rsidRPr="00FF1ED1">
        <w:rPr>
          <w:lang w:val="en-GB" w:eastAsia="x-none"/>
        </w:rPr>
        <w:t>h</w:t>
      </w:r>
      <w:r w:rsidR="00813102" w:rsidRPr="00FF1ED1">
        <w:rPr>
          <w:lang w:val="en-GB" w:eastAsia="x-none"/>
        </w:rPr>
        <w:t>owever,</w:t>
      </w:r>
      <w:r w:rsidR="00A10A77" w:rsidRPr="00FF1ED1">
        <w:rPr>
          <w:lang w:val="en-GB" w:eastAsia="x-none"/>
        </w:rPr>
        <w:t xml:space="preserve"> there is still some delay in the </w:t>
      </w:r>
      <w:proofErr w:type="spellStart"/>
      <w:r w:rsidR="00A10A77" w:rsidRPr="00FF1ED1">
        <w:rPr>
          <w:lang w:val="en-GB" w:eastAsia="x-none"/>
        </w:rPr>
        <w:t>gNB</w:t>
      </w:r>
      <w:proofErr w:type="spellEnd"/>
      <w:r w:rsidR="00A10A77" w:rsidRPr="00FF1ED1">
        <w:rPr>
          <w:lang w:val="en-GB" w:eastAsia="x-none"/>
        </w:rPr>
        <w:t xml:space="preserve"> for processing HARQ </w:t>
      </w:r>
      <w:proofErr w:type="spellStart"/>
      <w:r w:rsidR="00A10A77" w:rsidRPr="00FF1ED1">
        <w:rPr>
          <w:lang w:val="en-GB" w:eastAsia="x-none"/>
        </w:rPr>
        <w:t>ack</w:t>
      </w:r>
      <w:proofErr w:type="spellEnd"/>
      <w:r w:rsidR="00A10A77" w:rsidRPr="00FF1ED1">
        <w:rPr>
          <w:lang w:val="en-GB" w:eastAsia="x-none"/>
        </w:rPr>
        <w:t>/</w:t>
      </w:r>
      <w:proofErr w:type="spellStart"/>
      <w:r w:rsidR="00A10A77" w:rsidRPr="00FF1ED1">
        <w:rPr>
          <w:lang w:val="en-GB" w:eastAsia="x-none"/>
        </w:rPr>
        <w:t>nack</w:t>
      </w:r>
      <w:proofErr w:type="spellEnd"/>
      <w:r w:rsidR="00A10A77" w:rsidRPr="00FF1ED1">
        <w:rPr>
          <w:lang w:val="en-GB" w:eastAsia="x-none"/>
        </w:rPr>
        <w:t xml:space="preserve"> detection, DL scheduling and preparing DL PDU</w:t>
      </w:r>
      <w:r w:rsidR="00813102" w:rsidRPr="00FF1ED1">
        <w:rPr>
          <w:lang w:val="en-GB" w:eastAsia="x-none"/>
        </w:rPr>
        <w:t>.</w:t>
      </w:r>
      <w:r w:rsidR="00DA6E94" w:rsidRPr="00FF1ED1">
        <w:rPr>
          <w:lang w:val="en-GB" w:eastAsia="x-none"/>
        </w:rPr>
        <w:t xml:space="preserve"> </w:t>
      </w:r>
      <w:r w:rsidR="006A5477" w:rsidRPr="00FF1ED1">
        <w:rPr>
          <w:lang w:val="en-GB" w:eastAsia="x-none"/>
        </w:rPr>
        <w:t>In NR, HARQ RTT timer in UL and DL still saves power by allowing a UE to stop monitoring the control channel during the HARQ feedback timing</w:t>
      </w:r>
      <w:r w:rsidR="006E2C6B" w:rsidRPr="00FF1ED1">
        <w:rPr>
          <w:lang w:val="en-GB" w:eastAsia="x-none"/>
        </w:rPr>
        <w:t xml:space="preserve"> because when a DRX inactivity timer is expired, UE has no</w:t>
      </w:r>
      <w:r w:rsidR="00F05897" w:rsidRPr="00FF1ED1">
        <w:rPr>
          <w:lang w:val="en-GB" w:eastAsia="x-none"/>
        </w:rPr>
        <w:t xml:space="preserve"> new transmission or reception</w:t>
      </w:r>
      <w:r w:rsidR="006E2C6B" w:rsidRPr="00FF1ED1">
        <w:rPr>
          <w:lang w:val="en-GB" w:eastAsia="x-none"/>
        </w:rPr>
        <w:t xml:space="preserve"> </w:t>
      </w:r>
      <w:r w:rsidR="00180AEF" w:rsidRPr="00FF1ED1">
        <w:rPr>
          <w:lang w:val="en-GB" w:eastAsia="x-none"/>
        </w:rPr>
        <w:t>activity</w:t>
      </w:r>
      <w:r w:rsidR="006A5477" w:rsidRPr="00FF1ED1">
        <w:rPr>
          <w:lang w:val="en-GB" w:eastAsia="x-none"/>
        </w:rPr>
        <w:t>.</w:t>
      </w:r>
    </w:p>
    <w:p w14:paraId="0C843932" w14:textId="56666F15" w:rsidR="00A035CA" w:rsidRPr="00FF1ED1" w:rsidRDefault="00A035CA" w:rsidP="00FF1ED1">
      <w:pPr>
        <w:pStyle w:val="Observationstyle"/>
      </w:pPr>
      <w:bookmarkStart w:id="82" w:name="_Toc489625540"/>
      <w:bookmarkStart w:id="83" w:name="_Toc489634542"/>
      <w:bookmarkStart w:id="84" w:name="_Toc490126818"/>
      <w:bookmarkStart w:id="85" w:name="_Toc490248066"/>
      <w:bookmarkStart w:id="86" w:name="_Toc490248074"/>
      <w:bookmarkStart w:id="87" w:name="_Toc490250665"/>
      <w:r w:rsidRPr="00FF1ED1">
        <w:t>HARQ RTT timer</w:t>
      </w:r>
      <w:r w:rsidR="008325B8" w:rsidRPr="00FF1ED1">
        <w:t>s are</w:t>
      </w:r>
      <w:r w:rsidRPr="00FF1ED1">
        <w:t xml:space="preserve"> beneficial for power saving.</w:t>
      </w:r>
      <w:bookmarkEnd w:id="82"/>
      <w:bookmarkEnd w:id="83"/>
      <w:bookmarkEnd w:id="84"/>
      <w:bookmarkEnd w:id="85"/>
      <w:bookmarkEnd w:id="86"/>
      <w:bookmarkEnd w:id="87"/>
    </w:p>
    <w:p w14:paraId="1BF0DE17" w14:textId="2FBCA8C3" w:rsidR="006A5477" w:rsidRPr="00FF1ED1" w:rsidRDefault="006A5477" w:rsidP="006A5477">
      <w:pPr>
        <w:rPr>
          <w:lang w:val="en-GB"/>
        </w:rPr>
      </w:pPr>
      <w:r w:rsidRPr="00FF1ED1">
        <w:rPr>
          <w:lang w:val="en-GB"/>
        </w:rPr>
        <w:t xml:space="preserve">Similar to the DRX retransmission timer, the HARQ RTT timer for UL or DL is also triggered for a TB being handled by a HARQ process. </w:t>
      </w:r>
      <w:r w:rsidR="00347786" w:rsidRPr="00FF1ED1">
        <w:rPr>
          <w:lang w:val="en-GB"/>
        </w:rPr>
        <w:t>T</w:t>
      </w:r>
      <w:r w:rsidRPr="00FF1ED1">
        <w:rPr>
          <w:lang w:val="en-GB"/>
        </w:rPr>
        <w:t xml:space="preserve">he TB may be transmitted or received in </w:t>
      </w:r>
      <w:r w:rsidR="00F05897" w:rsidRPr="00FF1ED1">
        <w:rPr>
          <w:lang w:val="en-GB"/>
        </w:rPr>
        <w:t>a TTI length. T</w:t>
      </w:r>
      <w:r w:rsidRPr="00FF1ED1">
        <w:rPr>
          <w:lang w:val="en-GB"/>
        </w:rPr>
        <w:t xml:space="preserve">he HARQ RTT timer or the UL HARQ RTT timer should be set </w:t>
      </w:r>
      <w:r w:rsidR="00F05897" w:rsidRPr="00FF1ED1">
        <w:rPr>
          <w:lang w:val="en-GB"/>
        </w:rPr>
        <w:t>based on the</w:t>
      </w:r>
      <w:r w:rsidR="00347786" w:rsidRPr="00FF1ED1">
        <w:rPr>
          <w:lang w:val="en-GB"/>
        </w:rPr>
        <w:t xml:space="preserve"> TTI length because the duration the UE does not need to monitor the control channel before the retransmission process depends on the TTI length of the TB.</w:t>
      </w:r>
    </w:p>
    <w:p w14:paraId="1F8B01C9" w14:textId="3DDAC354" w:rsidR="00A035CA" w:rsidRPr="00FF1ED1" w:rsidRDefault="00A035CA" w:rsidP="00A035CA">
      <w:pPr>
        <w:pStyle w:val="Recommend-1"/>
      </w:pPr>
      <w:bookmarkStart w:id="88" w:name="_Toc489625550"/>
      <w:bookmarkStart w:id="89" w:name="_Toc489634549"/>
      <w:bookmarkStart w:id="90" w:name="_Toc490126824"/>
      <w:bookmarkStart w:id="91" w:name="_Toc490248072"/>
      <w:bookmarkStart w:id="92" w:name="_Toc490248080"/>
      <w:bookmarkStart w:id="93" w:name="_Toc490250671"/>
      <w:r w:rsidRPr="00FF1ED1">
        <w:t>The unit of the HARQ RTT timer is in the number of TTI length of the TB that started the HARQ RTT timer.</w:t>
      </w:r>
      <w:bookmarkEnd w:id="88"/>
      <w:bookmarkEnd w:id="89"/>
      <w:bookmarkEnd w:id="90"/>
      <w:bookmarkEnd w:id="91"/>
      <w:bookmarkEnd w:id="92"/>
      <w:bookmarkEnd w:id="93"/>
    </w:p>
    <w:p w14:paraId="78A7E010" w14:textId="77777777" w:rsidR="00BD5799" w:rsidRPr="00BD5799" w:rsidRDefault="00BD5799" w:rsidP="00BD5799">
      <w:pPr>
        <w:rPr>
          <w:lang w:val="en-GB" w:eastAsia="x-none"/>
        </w:rPr>
      </w:pPr>
    </w:p>
    <w:p w14:paraId="2819B09A" w14:textId="534CBC33" w:rsidR="00A035CA" w:rsidRDefault="00A035CA" w:rsidP="00A035CA">
      <w:pPr>
        <w:pStyle w:val="Heading2"/>
      </w:pPr>
      <w:r>
        <w:lastRenderedPageBreak/>
        <w:t>C-DRX in multi-beam operation</w:t>
      </w:r>
    </w:p>
    <w:p w14:paraId="750A81DA" w14:textId="78FABFA1" w:rsidR="00BD5799" w:rsidRDefault="00BD5799" w:rsidP="00BD5799">
      <w:pPr>
        <w:rPr>
          <w:lang w:val="en-GB" w:eastAsia="x-none"/>
        </w:rPr>
      </w:pPr>
      <w:r>
        <w:rPr>
          <w:lang w:val="en-GB" w:eastAsia="x-none"/>
        </w:rPr>
        <w:t xml:space="preserve">In beam driven cells, it is understood that UE needs to perform beam management (e.g. </w:t>
      </w:r>
      <w:r w:rsidR="00C62434">
        <w:rPr>
          <w:lang w:val="en-GB" w:eastAsia="x-none"/>
        </w:rPr>
        <w:t>beam determination, beam measurement, beam reporting and beam sweeping</w:t>
      </w:r>
      <w:r>
        <w:rPr>
          <w:lang w:val="en-GB" w:eastAsia="x-none"/>
        </w:rPr>
        <w:t xml:space="preserve">) to </w:t>
      </w:r>
      <w:r w:rsidR="00C62434">
        <w:rPr>
          <w:lang w:val="en-GB" w:eastAsia="x-none"/>
        </w:rPr>
        <w:t>maintain the</w:t>
      </w:r>
      <w:r>
        <w:rPr>
          <w:lang w:val="en-GB" w:eastAsia="x-none"/>
        </w:rPr>
        <w:t xml:space="preserve"> beam pair link for transmission/reception of control/data. </w:t>
      </w:r>
      <w:r w:rsidRPr="007307A9">
        <w:rPr>
          <w:lang w:eastAsia="ja-JP"/>
        </w:rPr>
        <w:t>When the quality of beam pair link(s) of an associated control channel falls low enough (e.g. comparison with a threshold, time-out of an associated timer)</w:t>
      </w:r>
      <w:r>
        <w:rPr>
          <w:lang w:eastAsia="ja-JP"/>
        </w:rPr>
        <w:t xml:space="preserve">, beam recovery procedure will be triggered. </w:t>
      </w:r>
    </w:p>
    <w:p w14:paraId="2F247C1D" w14:textId="2B937395" w:rsidR="00BD5799" w:rsidRDefault="00A17448" w:rsidP="00BD5799">
      <w:pPr>
        <w:rPr>
          <w:lang w:val="en-GB" w:eastAsia="x-none"/>
        </w:rPr>
      </w:pPr>
      <w:r>
        <w:rPr>
          <w:lang w:val="en-GB" w:eastAsia="x-none"/>
        </w:rPr>
        <w:t xml:space="preserve">If </w:t>
      </w:r>
      <w:r w:rsidR="00BD5799">
        <w:rPr>
          <w:lang w:val="en-GB" w:eastAsia="x-none"/>
        </w:rPr>
        <w:t xml:space="preserve">similar operation is required during DRX operation, the UE would need to perform beam management every DRX cycle before it becomes ready to monitor PDCCH in its beam pair link (BPL). And, if DL BPL is not valid, then the beam recovery procedure would be required. </w:t>
      </w:r>
    </w:p>
    <w:p w14:paraId="25BA2EF1" w14:textId="77777777" w:rsidR="00BD5799" w:rsidRPr="00FF1ED1" w:rsidRDefault="00BD5799" w:rsidP="00FF1ED1">
      <w:pPr>
        <w:pStyle w:val="Observationstyle"/>
      </w:pPr>
      <w:bookmarkStart w:id="94" w:name="_Toc478154645"/>
      <w:bookmarkStart w:id="95" w:name="_Toc478154707"/>
      <w:bookmarkStart w:id="96" w:name="_Toc478155499"/>
      <w:bookmarkStart w:id="97" w:name="_Toc478160228"/>
      <w:bookmarkStart w:id="98" w:name="_Toc489625541"/>
      <w:bookmarkStart w:id="99" w:name="_Toc489634543"/>
      <w:bookmarkStart w:id="100" w:name="_Toc490126819"/>
      <w:bookmarkStart w:id="101" w:name="_Toc490248067"/>
      <w:bookmarkStart w:id="102" w:name="_Toc490248075"/>
      <w:bookmarkStart w:id="103" w:name="_Toc490250666"/>
      <w:r w:rsidRPr="00FF1ED1">
        <w:t>In every DRX cycle, the UE may need to perform beam management to find the valid BPLs and if it fails to find the BPL, the beam recovery procedure will be required.</w:t>
      </w:r>
      <w:bookmarkEnd w:id="94"/>
      <w:bookmarkEnd w:id="95"/>
      <w:bookmarkEnd w:id="96"/>
      <w:bookmarkEnd w:id="97"/>
      <w:bookmarkEnd w:id="98"/>
      <w:bookmarkEnd w:id="99"/>
      <w:bookmarkEnd w:id="100"/>
      <w:bookmarkEnd w:id="101"/>
      <w:bookmarkEnd w:id="102"/>
      <w:bookmarkEnd w:id="103"/>
      <w:r w:rsidRPr="00FF1ED1">
        <w:t xml:space="preserve"> </w:t>
      </w:r>
    </w:p>
    <w:p w14:paraId="37FDC0DD" w14:textId="489361BC" w:rsidR="002C4F89" w:rsidRDefault="00BD5799" w:rsidP="00BD5799">
      <w:pPr>
        <w:rPr>
          <w:lang w:val="en-GB"/>
        </w:rPr>
      </w:pPr>
      <w:r>
        <w:rPr>
          <w:lang w:val="en-GB"/>
        </w:rPr>
        <w:t>A UE either may need to perform beam management and/or beam recovery before or at the start of the ON duration as shown in figures 1 and 2. The question is whether beam management/recovery should be done before ON duration time is started or not. The figure 1 shows the case where the UE wake</w:t>
      </w:r>
      <w:r w:rsidR="002C4F89">
        <w:rPr>
          <w:lang w:val="en-GB"/>
        </w:rPr>
        <w:t>s</w:t>
      </w:r>
      <w:r>
        <w:rPr>
          <w:lang w:val="en-GB"/>
        </w:rPr>
        <w:t xml:space="preserve"> up ‘x’ </w:t>
      </w:r>
      <w:proofErr w:type="spellStart"/>
      <w:r>
        <w:rPr>
          <w:lang w:val="en-GB"/>
        </w:rPr>
        <w:t>subframe</w:t>
      </w:r>
      <w:proofErr w:type="spellEnd"/>
      <w:r>
        <w:rPr>
          <w:lang w:val="en-GB"/>
        </w:rPr>
        <w:t xml:space="preserve"> before ON duration timer is started to perform beam management. ‘</w:t>
      </w:r>
      <w:proofErr w:type="gramStart"/>
      <w:r>
        <w:rPr>
          <w:lang w:val="en-GB"/>
        </w:rPr>
        <w:t>x</w:t>
      </w:r>
      <w:proofErr w:type="gramEnd"/>
      <w:r>
        <w:rPr>
          <w:lang w:val="en-GB"/>
        </w:rPr>
        <w:t xml:space="preserve">’ </w:t>
      </w:r>
      <w:proofErr w:type="spellStart"/>
      <w:r>
        <w:rPr>
          <w:lang w:val="en-GB"/>
        </w:rPr>
        <w:t>subframe</w:t>
      </w:r>
      <w:proofErr w:type="spellEnd"/>
      <w:r>
        <w:rPr>
          <w:lang w:val="en-GB"/>
        </w:rPr>
        <w:t xml:space="preserve"> is the time period required for beam management. However, in this case, if the beam recovery is required, the UE may not be able to receive PDCCH during ON duration time. </w:t>
      </w:r>
    </w:p>
    <w:p w14:paraId="72A7952F" w14:textId="114CF4D5" w:rsidR="00BD5799" w:rsidRDefault="00BD5799" w:rsidP="00BD5799">
      <w:pPr>
        <w:rPr>
          <w:lang w:val="en-GB"/>
        </w:rPr>
      </w:pPr>
      <w:r>
        <w:rPr>
          <w:lang w:val="en-GB"/>
        </w:rPr>
        <w:t xml:space="preserve">The figure </w:t>
      </w:r>
      <w:r w:rsidR="00A10A77">
        <w:rPr>
          <w:lang w:val="en-GB"/>
        </w:rPr>
        <w:t>3</w:t>
      </w:r>
      <w:r>
        <w:rPr>
          <w:lang w:val="en-GB"/>
        </w:rPr>
        <w:t xml:space="preserve"> shows the case where the UE wake-up ‘y’ </w:t>
      </w:r>
      <w:proofErr w:type="spellStart"/>
      <w:r>
        <w:rPr>
          <w:lang w:val="en-GB"/>
        </w:rPr>
        <w:t>subframe</w:t>
      </w:r>
      <w:proofErr w:type="spellEnd"/>
      <w:r>
        <w:rPr>
          <w:lang w:val="en-GB"/>
        </w:rPr>
        <w:t xml:space="preserve"> before ON duration time, where ‘y’ </w:t>
      </w:r>
      <w:proofErr w:type="spellStart"/>
      <w:r>
        <w:rPr>
          <w:lang w:val="en-GB"/>
        </w:rPr>
        <w:t>subframe</w:t>
      </w:r>
      <w:proofErr w:type="spellEnd"/>
      <w:r>
        <w:rPr>
          <w:lang w:val="en-GB"/>
        </w:rPr>
        <w:t xml:space="preserve"> is the time period required for beam recovery. In this case, if the beam recovery is not required, the UE may just waste time until the UE is actually in ON duration time. </w:t>
      </w:r>
    </w:p>
    <w:p w14:paraId="221330C6" w14:textId="77777777" w:rsidR="00BD5799" w:rsidRDefault="00BD5799" w:rsidP="00BD5799">
      <w:pPr>
        <w:rPr>
          <w:lang w:val="en-GB"/>
        </w:rPr>
      </w:pPr>
    </w:p>
    <w:p w14:paraId="5542E9C7" w14:textId="77777777" w:rsidR="00BD5799" w:rsidRDefault="00BD5799" w:rsidP="00BD5799"/>
    <w:p w14:paraId="030F6CEF" w14:textId="77777777" w:rsidR="00BD5799" w:rsidRDefault="00BD5799" w:rsidP="00BD5799">
      <w:pPr>
        <w:keepNext/>
        <w:jc w:val="center"/>
      </w:pPr>
      <w:r>
        <w:object w:dxaOrig="13351" w:dyaOrig="3556" w14:anchorId="21563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2.25pt" o:ole="">
            <v:imagedata r:id="rId10" o:title=""/>
          </v:shape>
          <o:OLEObject Type="Embed" ProgID="Visio.Drawing.15" ShapeID="_x0000_i1025" DrawAspect="Content" ObjectID="_1563992635" r:id="rId11"/>
        </w:object>
      </w:r>
    </w:p>
    <w:p w14:paraId="01D2C70C" w14:textId="77777777" w:rsidR="00BD5799" w:rsidRDefault="00BD5799" w:rsidP="00BD5799">
      <w:pPr>
        <w:pStyle w:val="Caption"/>
        <w:jc w:val="center"/>
      </w:pPr>
      <w:r>
        <w:t xml:space="preserve">Figure </w:t>
      </w:r>
      <w:fldSimple w:instr=" SEQ Figure \* ARABIC ">
        <w:r w:rsidR="00334F53">
          <w:rPr>
            <w:noProof/>
          </w:rPr>
          <w:t>1</w:t>
        </w:r>
      </w:fldSimple>
      <w:r>
        <w:t xml:space="preserve"> UE behavior in connected mode DRX in multi-beam operation where UE wakes up ‘x’ </w:t>
      </w:r>
      <w:proofErr w:type="spellStart"/>
      <w:r>
        <w:t>subframe</w:t>
      </w:r>
      <w:proofErr w:type="spellEnd"/>
      <w:r>
        <w:t xml:space="preserve"> before ON duration</w:t>
      </w:r>
    </w:p>
    <w:p w14:paraId="53ABB29F" w14:textId="77777777" w:rsidR="00334F53" w:rsidRDefault="00334F53" w:rsidP="00334F53">
      <w:pPr>
        <w:keepNext/>
      </w:pPr>
      <w:r>
        <w:object w:dxaOrig="12976" w:dyaOrig="1861" w14:anchorId="534A158F">
          <v:shape id="_x0000_i1026" type="#_x0000_t75" style="width:468pt;height:64.5pt" o:ole="">
            <v:imagedata r:id="rId12" o:title=""/>
          </v:shape>
          <o:OLEObject Type="Embed" ProgID="Visio.Drawing.15" ShapeID="_x0000_i1026" DrawAspect="Content" ObjectID="_1563992636" r:id="rId13"/>
        </w:object>
      </w:r>
    </w:p>
    <w:p w14:paraId="1B31DEE7" w14:textId="4E25E63F" w:rsidR="00334F53" w:rsidRPr="00FF1ED1" w:rsidRDefault="00334F53" w:rsidP="00FF1ED1">
      <w:pPr>
        <w:pStyle w:val="Caption"/>
      </w:pPr>
      <w:r>
        <w:t xml:space="preserve">Figure </w:t>
      </w:r>
      <w:fldSimple w:instr=" SEQ Figure \* ARABIC ">
        <w:r>
          <w:rPr>
            <w:noProof/>
          </w:rPr>
          <w:t>2</w:t>
        </w:r>
      </w:fldSimple>
      <w:r>
        <w:t xml:space="preserve"> </w:t>
      </w:r>
      <w:r w:rsidRPr="00364FC6">
        <w:t xml:space="preserve">UE behavior in connected mode DRX in multi-beam operation where UE </w:t>
      </w:r>
      <w:r w:rsidR="00956058">
        <w:t xml:space="preserve">performs beam management </w:t>
      </w:r>
      <w:r>
        <w:t>during</w:t>
      </w:r>
      <w:r w:rsidRPr="00364FC6">
        <w:t xml:space="preserve"> ON duration</w:t>
      </w:r>
    </w:p>
    <w:p w14:paraId="0E2AD003" w14:textId="77777777" w:rsidR="00BD5799" w:rsidRDefault="00BD5799" w:rsidP="00BD5799">
      <w:pPr>
        <w:keepNext/>
        <w:jc w:val="center"/>
      </w:pPr>
      <w:r>
        <w:object w:dxaOrig="13921" w:dyaOrig="2400" w14:anchorId="034E7C7D">
          <v:shape id="_x0000_i1027" type="#_x0000_t75" style="width:468pt;height:79.5pt" o:ole="">
            <v:imagedata r:id="rId14" o:title=""/>
          </v:shape>
          <o:OLEObject Type="Embed" ProgID="Visio.Drawing.15" ShapeID="_x0000_i1027" DrawAspect="Content" ObjectID="_1563992637" r:id="rId15"/>
        </w:object>
      </w:r>
    </w:p>
    <w:p w14:paraId="1B7AB37E" w14:textId="77777777" w:rsidR="00BD5799" w:rsidRDefault="00BD5799" w:rsidP="00BD5799">
      <w:pPr>
        <w:pStyle w:val="Caption"/>
        <w:rPr>
          <w:lang w:val="en-GB" w:eastAsia="x-none"/>
        </w:rPr>
      </w:pPr>
      <w:r>
        <w:t xml:space="preserve">Figure </w:t>
      </w:r>
      <w:fldSimple w:instr=" SEQ Figure \* ARABIC ">
        <w:r w:rsidR="00334F53">
          <w:rPr>
            <w:noProof/>
          </w:rPr>
          <w:t>3</w:t>
        </w:r>
      </w:fldSimple>
      <w:r>
        <w:t xml:space="preserve"> </w:t>
      </w:r>
      <w:r w:rsidRPr="00CF5F74">
        <w:t>UE behavior in connected mode DRX in multi-be</w:t>
      </w:r>
      <w:r>
        <w:t>am operation where UE wakes up ‘y’</w:t>
      </w:r>
      <w:r w:rsidRPr="00CF5F74">
        <w:t xml:space="preserve"> </w:t>
      </w:r>
      <w:proofErr w:type="spellStart"/>
      <w:r w:rsidRPr="00CF5F74">
        <w:t>subframe</w:t>
      </w:r>
      <w:proofErr w:type="spellEnd"/>
      <w:r w:rsidRPr="00CF5F74">
        <w:t xml:space="preserve"> before ON duration</w:t>
      </w:r>
    </w:p>
    <w:p w14:paraId="59673A0D" w14:textId="3517DD4A" w:rsidR="005214D2" w:rsidRDefault="00BD5799" w:rsidP="00BD5799">
      <w:pPr>
        <w:rPr>
          <w:color w:val="FF0000"/>
          <w:lang w:val="en-GB" w:eastAsia="x-none"/>
        </w:rPr>
      </w:pPr>
      <w:r>
        <w:rPr>
          <w:lang w:val="en-GB" w:eastAsia="x-none"/>
        </w:rPr>
        <w:t>Based on the above observation, it is important to understand how beam management/beam recover would be supported during DRX operation.</w:t>
      </w:r>
      <w:r w:rsidRPr="00FF1ED1">
        <w:rPr>
          <w:lang w:val="en-GB" w:eastAsia="x-none"/>
        </w:rPr>
        <w:t xml:space="preserve"> </w:t>
      </w:r>
      <w:r w:rsidR="005214D2" w:rsidRPr="00FF1ED1">
        <w:rPr>
          <w:lang w:val="en-GB" w:eastAsia="x-none"/>
        </w:rPr>
        <w:t>RAN1 has already agreed that the beam management can be based on the CSI-RS</w:t>
      </w:r>
      <w:r w:rsidR="003E48D0" w:rsidRPr="00FF1ED1">
        <w:rPr>
          <w:lang w:val="en-GB" w:eastAsia="x-none"/>
        </w:rPr>
        <w:t xml:space="preserve"> which can be periodic or aperiodic</w:t>
      </w:r>
      <w:r w:rsidR="005214D2" w:rsidRPr="00FF1ED1">
        <w:rPr>
          <w:lang w:val="en-GB" w:eastAsia="x-none"/>
        </w:rPr>
        <w:t xml:space="preserve">. If the periodicity of the CSI-RS is longer than the DRX cycle length, UE may not require to perform the beam management every DRX cycle. Therefore, it is desirable that the periodicity of the CSI-RS for beam management </w:t>
      </w:r>
      <w:r w:rsidR="003E48D0" w:rsidRPr="00FF1ED1">
        <w:rPr>
          <w:lang w:val="en-GB" w:eastAsia="x-none"/>
        </w:rPr>
        <w:t>and</w:t>
      </w:r>
      <w:r w:rsidR="005214D2" w:rsidRPr="00FF1ED1">
        <w:rPr>
          <w:lang w:val="en-GB" w:eastAsia="x-none"/>
        </w:rPr>
        <w:t xml:space="preserve"> the DRX cycle</w:t>
      </w:r>
      <w:r w:rsidR="003E48D0" w:rsidRPr="00FF1ED1">
        <w:rPr>
          <w:lang w:val="en-GB" w:eastAsia="x-none"/>
        </w:rPr>
        <w:t xml:space="preserve"> are aligned</w:t>
      </w:r>
      <w:r w:rsidR="00813102" w:rsidRPr="00FF1ED1">
        <w:rPr>
          <w:lang w:val="en-GB" w:eastAsia="x-none"/>
        </w:rPr>
        <w:t>, for example, the periodicity and DRX cycle length are in multiple of one another</w:t>
      </w:r>
      <w:r w:rsidR="005214D2" w:rsidRPr="00FF1ED1">
        <w:rPr>
          <w:lang w:val="en-GB" w:eastAsia="x-none"/>
        </w:rPr>
        <w:t>.</w:t>
      </w:r>
    </w:p>
    <w:p w14:paraId="38311069" w14:textId="06BF78B3" w:rsidR="003E48D0" w:rsidRPr="003E48D0" w:rsidRDefault="003E48D0" w:rsidP="00FF1ED1">
      <w:pPr>
        <w:pStyle w:val="Observationstyle"/>
      </w:pPr>
      <w:bookmarkStart w:id="104" w:name="_Toc489634544"/>
      <w:bookmarkStart w:id="105" w:name="_Toc490126820"/>
      <w:bookmarkStart w:id="106" w:name="_Toc490248068"/>
      <w:bookmarkStart w:id="107" w:name="_Toc490248076"/>
      <w:bookmarkStart w:id="108" w:name="_Toc490250667"/>
      <w:r w:rsidRPr="003E48D0">
        <w:t>For periodic CSI-RS reporting for beam management, it is desirable that the periodicity of the CSI-RS and DRX cycle are aligned.</w:t>
      </w:r>
      <w:bookmarkEnd w:id="104"/>
      <w:bookmarkEnd w:id="105"/>
      <w:bookmarkEnd w:id="106"/>
      <w:bookmarkEnd w:id="107"/>
      <w:bookmarkEnd w:id="108"/>
    </w:p>
    <w:p w14:paraId="39D52155" w14:textId="6BB786F0" w:rsidR="00A10A77" w:rsidRPr="00FF1ED1" w:rsidRDefault="005214D2" w:rsidP="00BD5799">
      <w:pPr>
        <w:rPr>
          <w:lang w:val="en-GB" w:eastAsia="x-none"/>
        </w:rPr>
      </w:pPr>
      <w:r w:rsidRPr="00FF1ED1">
        <w:rPr>
          <w:lang w:val="en-GB" w:eastAsia="x-none"/>
        </w:rPr>
        <w:t xml:space="preserve">However, a UE </w:t>
      </w:r>
      <w:r w:rsidR="00A10A77" w:rsidRPr="00FF1ED1">
        <w:rPr>
          <w:lang w:val="en-GB" w:eastAsia="x-none"/>
        </w:rPr>
        <w:t>cannot</w:t>
      </w:r>
      <w:r w:rsidRPr="00FF1ED1">
        <w:rPr>
          <w:lang w:val="en-GB" w:eastAsia="x-none"/>
        </w:rPr>
        <w:t xml:space="preserve"> perform beam management or beam recovery and monitor the </w:t>
      </w:r>
      <w:r w:rsidR="00BB3B52" w:rsidRPr="00FF1ED1">
        <w:rPr>
          <w:lang w:val="en-GB" w:eastAsia="x-none"/>
        </w:rPr>
        <w:t xml:space="preserve">NR </w:t>
      </w:r>
      <w:r w:rsidRPr="00FF1ED1">
        <w:rPr>
          <w:lang w:val="en-GB" w:eastAsia="x-none"/>
        </w:rPr>
        <w:t>PDCCH simultaneously</w:t>
      </w:r>
      <w:r w:rsidR="00A10A77" w:rsidRPr="00FF1ED1">
        <w:rPr>
          <w:lang w:val="en-GB" w:eastAsia="x-none"/>
        </w:rPr>
        <w:t xml:space="preserve"> as CSI-RS for beam management and NR-PDCCH are not transmitted in the same symbol. After each DRX sleep, UE would need to acquire the CSI-RS and update the beam before reading the NR-PDCCH.</w:t>
      </w:r>
    </w:p>
    <w:p w14:paraId="1867E5AB" w14:textId="1E4BD3E4" w:rsidR="006743D8" w:rsidRPr="00FF1ED1" w:rsidRDefault="005214D2" w:rsidP="00FF1ED1">
      <w:pPr>
        <w:rPr>
          <w:lang w:val="en-GB"/>
        </w:rPr>
      </w:pPr>
      <w:r w:rsidRPr="00FF1ED1">
        <w:rPr>
          <w:lang w:val="en-GB" w:eastAsia="x-none"/>
        </w:rPr>
        <w:t xml:space="preserve"> </w:t>
      </w:r>
      <w:r w:rsidR="006743D8" w:rsidRPr="00FF1ED1">
        <w:rPr>
          <w:lang w:val="en-GB" w:eastAsia="x-none"/>
        </w:rPr>
        <w:t>As shown in figure 2, UE may start beam management at the beginning of the ON duration, however, the ON duration may be set to monitor just the NR-PDCCH. Therefore, as in legacy LTE DRX, UE may wake up earlier than the start of the ON duration and perform beam management as shown in figure 1. After the beam management, if beam recovery is required, the DRX active time can be extended.</w:t>
      </w:r>
    </w:p>
    <w:p w14:paraId="21CF1B47" w14:textId="17437EC0" w:rsidR="00BD5799" w:rsidRPr="00BD5799" w:rsidRDefault="006743D8" w:rsidP="00FF1ED1">
      <w:pPr>
        <w:pStyle w:val="Recommend-1"/>
        <w:rPr>
          <w:lang w:val="en-GB"/>
        </w:rPr>
      </w:pPr>
      <w:bookmarkStart w:id="109" w:name="_Toc490126825"/>
      <w:bookmarkStart w:id="110" w:name="_Toc490126826"/>
      <w:bookmarkStart w:id="111" w:name="_Toc490126827"/>
      <w:bookmarkStart w:id="112" w:name="_Toc490126828"/>
      <w:bookmarkStart w:id="113" w:name="_Toc490126829"/>
      <w:bookmarkStart w:id="114" w:name="_Toc490126830"/>
      <w:bookmarkStart w:id="115" w:name="_Toc490248073"/>
      <w:bookmarkStart w:id="116" w:name="_Toc490248081"/>
      <w:bookmarkStart w:id="117" w:name="_Toc490250672"/>
      <w:bookmarkEnd w:id="109"/>
      <w:bookmarkEnd w:id="110"/>
      <w:bookmarkEnd w:id="111"/>
      <w:bookmarkEnd w:id="112"/>
      <w:bookmarkEnd w:id="113"/>
      <w:r>
        <w:rPr>
          <w:lang w:val="en-GB"/>
        </w:rPr>
        <w:t>UE performs beam management before the start of the ON duration</w:t>
      </w:r>
      <w:r w:rsidR="00F513C5">
        <w:rPr>
          <w:lang w:val="en-GB"/>
        </w:rPr>
        <w:t xml:space="preserve"> i.e. beam management duration should not be included in ON duration time</w:t>
      </w:r>
      <w:r>
        <w:rPr>
          <w:lang w:val="en-GB"/>
        </w:rPr>
        <w:t>.</w:t>
      </w:r>
      <w:bookmarkEnd w:id="114"/>
      <w:bookmarkEnd w:id="115"/>
      <w:bookmarkEnd w:id="116"/>
      <w:bookmarkEnd w:id="117"/>
    </w:p>
    <w:p w14:paraId="2BE9DFA6" w14:textId="77777777" w:rsidR="00EC3224" w:rsidRPr="0077190D" w:rsidRDefault="00EC3224" w:rsidP="00EA3FD8">
      <w:pPr>
        <w:pStyle w:val="Heading1"/>
      </w:pPr>
      <w:bookmarkStart w:id="118" w:name="_Toc465868502"/>
      <w:bookmarkStart w:id="119" w:name="_Toc466027731"/>
      <w:bookmarkStart w:id="120" w:name="_Toc466028398"/>
      <w:bookmarkStart w:id="121" w:name="_Toc465868504"/>
      <w:bookmarkStart w:id="122" w:name="_Toc466027733"/>
      <w:bookmarkStart w:id="123" w:name="_Toc4660284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118"/>
      <w:bookmarkEnd w:id="119"/>
      <w:bookmarkEnd w:id="120"/>
      <w:bookmarkEnd w:id="121"/>
      <w:bookmarkEnd w:id="122"/>
      <w:bookmarkEnd w:id="123"/>
      <w:r w:rsidRPr="0077190D">
        <w:t xml:space="preserve">Conclusion </w:t>
      </w:r>
    </w:p>
    <w:p w14:paraId="4635B31A" w14:textId="77777777" w:rsidR="00EC3224" w:rsidRPr="0077190D" w:rsidRDefault="00EC3224" w:rsidP="00EC3224">
      <w:pPr>
        <w:rPr>
          <w:lang w:val="en-GB" w:eastAsia="x-none"/>
        </w:rPr>
      </w:pPr>
      <w:r w:rsidRPr="0077190D">
        <w:rPr>
          <w:lang w:val="en-GB" w:eastAsia="x-none"/>
        </w:rPr>
        <w:t>Based on the above discussion, we have following observations:</w:t>
      </w:r>
    </w:p>
    <w:p w14:paraId="61820E36" w14:textId="77777777" w:rsidR="007564DA" w:rsidRDefault="00EC3224">
      <w:pPr>
        <w:pStyle w:val="TOC1"/>
        <w:rPr>
          <w:rFonts w:asciiTheme="minorHAnsi" w:eastAsiaTheme="minorEastAsia" w:hAnsiTheme="minorHAnsi" w:cstheme="minorBidi"/>
          <w:b w:val="0"/>
          <w:sz w:val="22"/>
          <w:szCs w:val="22"/>
          <w:lang w:val="en-US"/>
        </w:rPr>
      </w:pPr>
      <w:r w:rsidRPr="0077190D">
        <w:fldChar w:fldCharType="begin"/>
      </w:r>
      <w:r w:rsidRPr="0077190D">
        <w:instrText xml:space="preserve"> TOC \n \t "Observation,1,Observation style,1" </w:instrText>
      </w:r>
      <w:r w:rsidRPr="0077190D">
        <w:fldChar w:fldCharType="separate"/>
      </w:r>
      <w:r w:rsidR="007564DA" w:rsidRPr="00E32EEC">
        <w:t>Observation 1</w:t>
      </w:r>
      <w:r w:rsidR="007564DA">
        <w:t xml:space="preserve"> HARQ RTT timers are beneficial for power saving.</w:t>
      </w:r>
    </w:p>
    <w:p w14:paraId="5568068E" w14:textId="77777777" w:rsidR="007564DA" w:rsidRDefault="007564DA">
      <w:pPr>
        <w:pStyle w:val="TOC1"/>
        <w:rPr>
          <w:rFonts w:asciiTheme="minorHAnsi" w:eastAsiaTheme="minorEastAsia" w:hAnsiTheme="minorHAnsi" w:cstheme="minorBidi"/>
          <w:b w:val="0"/>
          <w:sz w:val="22"/>
          <w:szCs w:val="22"/>
          <w:lang w:val="en-US"/>
        </w:rPr>
      </w:pPr>
      <w:r w:rsidRPr="00E32EEC">
        <w:t>Observation 2</w:t>
      </w:r>
      <w:r>
        <w:t xml:space="preserve"> In every DRX cycle, the UE may need to perform beam management to find the valid BPLs and if it fails to find the BPL, the beam recovery procedure will be required.</w:t>
      </w:r>
    </w:p>
    <w:p w14:paraId="12D066BB" w14:textId="77777777" w:rsidR="007564DA" w:rsidRDefault="007564DA">
      <w:pPr>
        <w:pStyle w:val="TOC1"/>
        <w:rPr>
          <w:rFonts w:asciiTheme="minorHAnsi" w:eastAsiaTheme="minorEastAsia" w:hAnsiTheme="minorHAnsi" w:cstheme="minorBidi"/>
          <w:b w:val="0"/>
          <w:sz w:val="22"/>
          <w:szCs w:val="22"/>
          <w:lang w:val="en-US"/>
        </w:rPr>
      </w:pPr>
      <w:r w:rsidRPr="00E32EEC">
        <w:t>Observation 3</w:t>
      </w:r>
      <w:r>
        <w:t xml:space="preserve"> For periodic CSI-RS reporting for beam management, it is desirable that the periodicity of the CSI-RS and DRX cycle are aligned.</w:t>
      </w:r>
    </w:p>
    <w:p w14:paraId="441FF952" w14:textId="77777777" w:rsidR="00DD3528" w:rsidRDefault="00EC3224" w:rsidP="00EC3224">
      <w:pPr>
        <w:spacing w:line="276" w:lineRule="auto"/>
        <w:rPr>
          <w:b/>
          <w:noProof/>
          <w:lang w:val="en-GB"/>
        </w:rPr>
      </w:pPr>
      <w:r w:rsidRPr="0077190D">
        <w:rPr>
          <w:b/>
          <w:noProof/>
          <w:lang w:val="en-GB"/>
        </w:rPr>
        <w:fldChar w:fldCharType="end"/>
      </w:r>
    </w:p>
    <w:p w14:paraId="69AAA7C8" w14:textId="19AC9D6D" w:rsidR="00EC3224" w:rsidRPr="0077190D" w:rsidRDefault="00FA6715" w:rsidP="00EC3224">
      <w:pPr>
        <w:spacing w:line="276" w:lineRule="auto"/>
        <w:rPr>
          <w:noProof/>
          <w:lang w:val="en-GB"/>
        </w:rPr>
      </w:pPr>
      <w:r>
        <w:rPr>
          <w:noProof/>
          <w:lang w:val="en-GB"/>
        </w:rPr>
        <w:t>Based on the</w:t>
      </w:r>
      <w:r w:rsidR="00EC3224" w:rsidRPr="0077190D">
        <w:rPr>
          <w:noProof/>
          <w:lang w:val="en-GB"/>
        </w:rPr>
        <w:t xml:space="preserve"> observ</w:t>
      </w:r>
      <w:bookmarkStart w:id="124" w:name="_GoBack"/>
      <w:bookmarkEnd w:id="124"/>
      <w:r w:rsidR="00EC3224" w:rsidRPr="0077190D">
        <w:rPr>
          <w:noProof/>
          <w:lang w:val="en-GB"/>
        </w:rPr>
        <w:t>ations and discussion, we propose:</w:t>
      </w:r>
    </w:p>
    <w:p w14:paraId="02917688" w14:textId="77777777" w:rsidR="007564DA" w:rsidRDefault="00EC3224">
      <w:pPr>
        <w:pStyle w:val="TOC1"/>
        <w:rPr>
          <w:rFonts w:asciiTheme="minorHAnsi" w:eastAsiaTheme="minorEastAsia" w:hAnsiTheme="minorHAnsi" w:cstheme="minorBidi"/>
          <w:b w:val="0"/>
          <w:sz w:val="22"/>
          <w:szCs w:val="22"/>
          <w:lang w:val="en-US"/>
        </w:rPr>
      </w:pPr>
      <w:r w:rsidRPr="0077190D">
        <w:fldChar w:fldCharType="begin"/>
      </w:r>
      <w:r w:rsidRPr="0077190D">
        <w:instrText xml:space="preserve"> TOC \n \t "Recommend-1,1" </w:instrText>
      </w:r>
      <w:r w:rsidRPr="0077190D">
        <w:fldChar w:fldCharType="separate"/>
      </w:r>
      <w:r w:rsidR="007564DA" w:rsidRPr="00D835DF">
        <w:t>Proposal 1.</w:t>
      </w:r>
      <w:r w:rsidR="007564DA">
        <w:rPr>
          <w:rFonts w:asciiTheme="minorHAnsi" w:eastAsiaTheme="minorEastAsia" w:hAnsiTheme="minorHAnsi" w:cstheme="minorBidi"/>
          <w:b w:val="0"/>
          <w:sz w:val="22"/>
          <w:szCs w:val="22"/>
          <w:lang w:val="en-US"/>
        </w:rPr>
        <w:tab/>
      </w:r>
      <w:r w:rsidR="007564DA" w:rsidRPr="00D835DF">
        <w:t>The unit of ON duration timer and DRX inactivity timer is in number of time slots of the reference numerology.</w:t>
      </w:r>
    </w:p>
    <w:p w14:paraId="217CFEA6" w14:textId="77777777" w:rsidR="007564DA" w:rsidRDefault="007564DA">
      <w:pPr>
        <w:pStyle w:val="TOC1"/>
        <w:rPr>
          <w:rFonts w:asciiTheme="minorHAnsi" w:eastAsiaTheme="minorEastAsia" w:hAnsiTheme="minorHAnsi" w:cstheme="minorBidi"/>
          <w:b w:val="0"/>
          <w:sz w:val="22"/>
          <w:szCs w:val="22"/>
          <w:lang w:val="en-US"/>
        </w:rPr>
      </w:pPr>
      <w:r w:rsidRPr="00D835DF">
        <w:t>Proposal 2.</w:t>
      </w:r>
      <w:r>
        <w:rPr>
          <w:rFonts w:asciiTheme="minorHAnsi" w:eastAsiaTheme="minorEastAsia" w:hAnsiTheme="minorHAnsi" w:cstheme="minorBidi"/>
          <w:b w:val="0"/>
          <w:sz w:val="22"/>
          <w:szCs w:val="22"/>
          <w:lang w:val="en-US"/>
        </w:rPr>
        <w:tab/>
      </w:r>
      <w:r w:rsidRPr="00D835DF">
        <w:t>Unit of DRX retransmission timers is in the number of the TTI length of the TB that started the retransmission timer.</w:t>
      </w:r>
    </w:p>
    <w:p w14:paraId="5341E579" w14:textId="77777777" w:rsidR="007564DA" w:rsidRDefault="007564DA">
      <w:pPr>
        <w:pStyle w:val="TOC1"/>
        <w:rPr>
          <w:rFonts w:asciiTheme="minorHAnsi" w:eastAsiaTheme="minorEastAsia" w:hAnsiTheme="minorHAnsi" w:cstheme="minorBidi"/>
          <w:b w:val="0"/>
          <w:sz w:val="22"/>
          <w:szCs w:val="22"/>
          <w:lang w:val="en-US"/>
        </w:rPr>
      </w:pPr>
      <w:r w:rsidRPr="00D835DF">
        <w:t>Proposal 3.</w:t>
      </w:r>
      <w:r>
        <w:rPr>
          <w:rFonts w:asciiTheme="minorHAnsi" w:eastAsiaTheme="minorEastAsia" w:hAnsiTheme="minorHAnsi" w:cstheme="minorBidi"/>
          <w:b w:val="0"/>
          <w:sz w:val="22"/>
          <w:szCs w:val="22"/>
          <w:lang w:val="en-US"/>
        </w:rPr>
        <w:tab/>
      </w:r>
      <w:r w:rsidRPr="00D835DF">
        <w:t>Unit of short and long DRX cycles is in the number of subframes.</w:t>
      </w:r>
    </w:p>
    <w:p w14:paraId="220D2229" w14:textId="77777777" w:rsidR="007564DA" w:rsidRDefault="007564DA">
      <w:pPr>
        <w:pStyle w:val="TOC1"/>
        <w:rPr>
          <w:rFonts w:asciiTheme="minorHAnsi" w:eastAsiaTheme="minorEastAsia" w:hAnsiTheme="minorHAnsi" w:cstheme="minorBidi"/>
          <w:b w:val="0"/>
          <w:sz w:val="22"/>
          <w:szCs w:val="22"/>
          <w:lang w:val="en-US"/>
        </w:rPr>
      </w:pPr>
      <w:r w:rsidRPr="00D835DF">
        <w:t>Proposal 4.</w:t>
      </w:r>
      <w:r>
        <w:rPr>
          <w:rFonts w:asciiTheme="minorHAnsi" w:eastAsiaTheme="minorEastAsia" w:hAnsiTheme="minorHAnsi" w:cstheme="minorBidi"/>
          <w:b w:val="0"/>
          <w:sz w:val="22"/>
          <w:szCs w:val="22"/>
          <w:lang w:val="en-US"/>
        </w:rPr>
        <w:tab/>
      </w:r>
      <w:r>
        <w:t>The unit of the HARQ RTT timer is in the number of TTI length of the TB that started the HARQ RTT timer.</w:t>
      </w:r>
    </w:p>
    <w:p w14:paraId="6CE43225" w14:textId="77777777" w:rsidR="007564DA" w:rsidRDefault="007564DA">
      <w:pPr>
        <w:pStyle w:val="TOC1"/>
        <w:rPr>
          <w:rFonts w:asciiTheme="minorHAnsi" w:eastAsiaTheme="minorEastAsia" w:hAnsiTheme="minorHAnsi" w:cstheme="minorBidi"/>
          <w:b w:val="0"/>
          <w:sz w:val="22"/>
          <w:szCs w:val="22"/>
          <w:lang w:val="en-US"/>
        </w:rPr>
      </w:pPr>
      <w:r w:rsidRPr="00D835DF">
        <w:t>Proposal 5.</w:t>
      </w:r>
      <w:r>
        <w:rPr>
          <w:rFonts w:asciiTheme="minorHAnsi" w:eastAsiaTheme="minorEastAsia" w:hAnsiTheme="minorHAnsi" w:cstheme="minorBidi"/>
          <w:b w:val="0"/>
          <w:sz w:val="22"/>
          <w:szCs w:val="22"/>
          <w:lang w:val="en-US"/>
        </w:rPr>
        <w:tab/>
      </w:r>
      <w:r w:rsidRPr="00D835DF">
        <w:t>UE performs beam management before the start of the ON duration i.e. beam management duration should not be included in ON duration time.</w:t>
      </w:r>
    </w:p>
    <w:p w14:paraId="674F6730" w14:textId="0539F263" w:rsidR="00EC3224" w:rsidRPr="0077190D" w:rsidRDefault="00EC3224" w:rsidP="003010EA">
      <w:pPr>
        <w:pStyle w:val="TOC1"/>
        <w:rPr>
          <w:rFonts w:hint="eastAsia"/>
        </w:rPr>
      </w:pPr>
      <w:r w:rsidRPr="0077190D">
        <w:lastRenderedPageBreak/>
        <w:fldChar w:fldCharType="end"/>
      </w:r>
    </w:p>
    <w:p w14:paraId="6C36882F" w14:textId="77777777" w:rsidR="00EC3224" w:rsidRPr="0077190D" w:rsidRDefault="00EC3224" w:rsidP="00EA3FD8">
      <w:pPr>
        <w:pStyle w:val="Heading1"/>
      </w:pPr>
      <w:r w:rsidRPr="0077190D">
        <w:t xml:space="preserve">References </w:t>
      </w:r>
    </w:p>
    <w:p w14:paraId="0313548F" w14:textId="7AA46D05" w:rsidR="00EC3224" w:rsidRPr="0077190D" w:rsidRDefault="00EC3224" w:rsidP="00EC3224">
      <w:pPr>
        <w:pStyle w:val="NormalWeb"/>
      </w:pPr>
      <w:r w:rsidRPr="0077190D">
        <w:t>[1] Draf</w:t>
      </w:r>
      <w:r w:rsidR="00016AA4" w:rsidRPr="0077190D">
        <w:t>t Report of 3GPP TSG RAN WG2 #97</w:t>
      </w:r>
      <w:r w:rsidRPr="0077190D">
        <w:t xml:space="preserve">bis, </w:t>
      </w:r>
      <w:r w:rsidR="00016AA4" w:rsidRPr="0077190D">
        <w:t>Spokane, USA</w:t>
      </w:r>
      <w:r w:rsidRPr="0077190D">
        <w:t xml:space="preserve">, </w:t>
      </w:r>
      <w:r w:rsidR="00016AA4" w:rsidRPr="0077190D">
        <w:t>April 4</w:t>
      </w:r>
      <w:r w:rsidR="00016AA4" w:rsidRPr="0077190D">
        <w:rPr>
          <w:vertAlign w:val="superscript"/>
        </w:rPr>
        <w:t>th</w:t>
      </w:r>
      <w:r w:rsidR="00016AA4" w:rsidRPr="0077190D">
        <w:t xml:space="preserve"> – 7</w:t>
      </w:r>
      <w:r w:rsidR="00016AA4" w:rsidRPr="0077190D">
        <w:rPr>
          <w:vertAlign w:val="superscript"/>
        </w:rPr>
        <w:t>th</w:t>
      </w:r>
      <w:r w:rsidR="00016AA4" w:rsidRPr="0077190D">
        <w:t>, 2017</w:t>
      </w:r>
      <w:r w:rsidRPr="0077190D">
        <w:t xml:space="preserve">. </w:t>
      </w:r>
    </w:p>
    <w:p w14:paraId="0E2C4FEF" w14:textId="7E5EB885" w:rsidR="00B145C0" w:rsidRDefault="009572CD" w:rsidP="00EC3224">
      <w:pPr>
        <w:pStyle w:val="NormalWeb"/>
      </w:pPr>
      <w:r w:rsidRPr="0077190D">
        <w:t>[2</w:t>
      </w:r>
      <w:r w:rsidR="00B145C0" w:rsidRPr="0077190D">
        <w:t>] Draft Report of 3GPP TSG RAN WG2 #</w:t>
      </w:r>
      <w:r w:rsidR="00FF1ED1">
        <w:t>98</w:t>
      </w:r>
      <w:r w:rsidR="00B145C0" w:rsidRPr="0077190D">
        <w:t xml:space="preserve">, </w:t>
      </w:r>
      <w:r w:rsidR="00FF1ED1" w:rsidRPr="00FF1ED1">
        <w:t>Hangzhou</w:t>
      </w:r>
      <w:r w:rsidR="00B145C0" w:rsidRPr="0077190D">
        <w:t xml:space="preserve">, </w:t>
      </w:r>
      <w:r w:rsidR="00FF1ED1">
        <w:t>China</w:t>
      </w:r>
      <w:r w:rsidR="00B145C0" w:rsidRPr="0077190D">
        <w:t xml:space="preserve">, </w:t>
      </w:r>
      <w:r w:rsidR="00FF1ED1">
        <w:t>May</w:t>
      </w:r>
      <w:r w:rsidR="00B145C0" w:rsidRPr="0077190D">
        <w:t xml:space="preserve"> </w:t>
      </w:r>
      <w:r w:rsidR="00FF1ED1">
        <w:t>15</w:t>
      </w:r>
      <w:r w:rsidR="00B145C0" w:rsidRPr="0077190D">
        <w:rPr>
          <w:vertAlign w:val="superscript"/>
        </w:rPr>
        <w:t>th</w:t>
      </w:r>
      <w:r w:rsidR="00B145C0" w:rsidRPr="0077190D">
        <w:t xml:space="preserve"> – 1</w:t>
      </w:r>
      <w:r w:rsidR="00FF1ED1">
        <w:t>9</w:t>
      </w:r>
      <w:r w:rsidR="00B145C0" w:rsidRPr="0077190D">
        <w:rPr>
          <w:vertAlign w:val="superscript"/>
        </w:rPr>
        <w:t>th</w:t>
      </w:r>
      <w:r w:rsidR="00FF1ED1">
        <w:t>, 2017</w:t>
      </w:r>
      <w:r w:rsidR="00B145C0" w:rsidRPr="0077190D">
        <w:t xml:space="preserve">. </w:t>
      </w:r>
    </w:p>
    <w:p w14:paraId="4CE7ABC0" w14:textId="294CC4C9" w:rsidR="00FF1ED1" w:rsidRPr="0077190D" w:rsidRDefault="00FF1ED1" w:rsidP="00EC3224">
      <w:pPr>
        <w:pStyle w:val="NormalWeb"/>
      </w:pPr>
      <w:r>
        <w:t>[3</w:t>
      </w:r>
      <w:r w:rsidRPr="00FF1ED1">
        <w:t>] Draf</w:t>
      </w:r>
      <w:r>
        <w:t>t Report of 3GPP TSG RAN WG1 #86</w:t>
      </w:r>
      <w:r w:rsidRPr="00FF1ED1">
        <w:t xml:space="preserve">bis, </w:t>
      </w:r>
      <w:r w:rsidRPr="00FF1ED1">
        <w:tab/>
        <w:t xml:space="preserve">Lisbon, </w:t>
      </w:r>
      <w:r>
        <w:t>October 10</w:t>
      </w:r>
      <w:r w:rsidRPr="00FF1ED1">
        <w:rPr>
          <w:vertAlign w:val="superscript"/>
        </w:rPr>
        <w:t>th</w:t>
      </w:r>
      <w:r>
        <w:t xml:space="preserve"> – 14</w:t>
      </w:r>
      <w:r w:rsidRPr="00FF1ED1">
        <w:rPr>
          <w:vertAlign w:val="superscript"/>
        </w:rPr>
        <w:t>th</w:t>
      </w:r>
      <w:r w:rsidRPr="00FF1ED1">
        <w:t>, 201</w:t>
      </w:r>
      <w:r>
        <w:t>6</w:t>
      </w:r>
      <w:r w:rsidRPr="00FF1ED1">
        <w:t>.</w:t>
      </w:r>
    </w:p>
    <w:p w14:paraId="5D54A392" w14:textId="77777777" w:rsidR="009572CD" w:rsidRDefault="009572CD" w:rsidP="00EC3224">
      <w:pPr>
        <w:pStyle w:val="NormalWeb"/>
      </w:pPr>
    </w:p>
    <w:sectPr w:rsidR="009572CD">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E5950"/>
    <w:multiLevelType w:val="hybridMultilevel"/>
    <w:tmpl w:val="4E72DA02"/>
    <w:lvl w:ilvl="0" w:tplc="75829420">
      <w:start w:val="10"/>
      <w:numFmt w:val="bullet"/>
      <w:lvlText w:val="-"/>
      <w:lvlJc w:val="left"/>
      <w:pPr>
        <w:ind w:left="1619" w:hanging="360"/>
      </w:pPr>
      <w:rPr>
        <w:rFonts w:ascii="Calibri" w:eastAsia="SimSun" w:hAnsi="Calibri" w:cs="Calibri" w:hint="default"/>
        <w:lang w:val="en-US"/>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34AA9"/>
    <w:multiLevelType w:val="hybridMultilevel"/>
    <w:tmpl w:val="DDCEEB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E049D"/>
    <w:multiLevelType w:val="hybridMultilevel"/>
    <w:tmpl w:val="66461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04129"/>
    <w:multiLevelType w:val="hybridMultilevel"/>
    <w:tmpl w:val="80920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47301"/>
    <w:multiLevelType w:val="multilevel"/>
    <w:tmpl w:val="03F66B00"/>
    <w:lvl w:ilvl="0">
      <w:start w:val="1"/>
      <w:numFmt w:val="decimal"/>
      <w:pStyle w:val="Heading1"/>
      <w:lvlText w:val="%1"/>
      <w:lvlJc w:val="left"/>
      <w:pPr>
        <w:ind w:left="432" w:hanging="432"/>
      </w:pPr>
    </w:lvl>
    <w:lvl w:ilvl="1">
      <w:start w:val="1"/>
      <w:numFmt w:val="decimal"/>
      <w:pStyle w:val="Heading2"/>
      <w:lvlText w:val="%1.%2"/>
      <w:lvlJc w:val="left"/>
      <w:pPr>
        <w:ind w:left="66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783210"/>
    <w:multiLevelType w:val="multilevel"/>
    <w:tmpl w:val="0C209FA4"/>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6"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16"/>
  </w:num>
  <w:num w:numId="4">
    <w:abstractNumId w:val="8"/>
  </w:num>
  <w:num w:numId="5">
    <w:abstractNumId w:val="24"/>
  </w:num>
  <w:num w:numId="6">
    <w:abstractNumId w:val="18"/>
  </w:num>
  <w:num w:numId="7">
    <w:abstractNumId w:val="22"/>
  </w:num>
  <w:num w:numId="8">
    <w:abstractNumId w:val="21"/>
  </w:num>
  <w:num w:numId="9">
    <w:abstractNumId w:val="11"/>
  </w:num>
  <w:num w:numId="10">
    <w:abstractNumId w:val="12"/>
  </w:num>
  <w:num w:numId="11">
    <w:abstractNumId w:val="5"/>
  </w:num>
  <w:num w:numId="12">
    <w:abstractNumId w:val="0"/>
  </w:num>
  <w:num w:numId="13">
    <w:abstractNumId w:val="13"/>
  </w:num>
  <w:num w:numId="14">
    <w:abstractNumId w:val="17"/>
  </w:num>
  <w:num w:numId="15">
    <w:abstractNumId w:val="19"/>
  </w:num>
  <w:num w:numId="16">
    <w:abstractNumId w:val="15"/>
  </w:num>
  <w:num w:numId="17">
    <w:abstractNumId w:val="1"/>
  </w:num>
  <w:num w:numId="18">
    <w:abstractNumId w:val="3"/>
  </w:num>
  <w:num w:numId="19">
    <w:abstractNumId w:val="20"/>
  </w:num>
  <w:num w:numId="20">
    <w:abstractNumId w:val="10"/>
  </w:num>
  <w:num w:numId="21">
    <w:abstractNumId w:val="4"/>
  </w:num>
  <w:num w:numId="22">
    <w:abstractNumId w:val="9"/>
  </w:num>
  <w:num w:numId="23">
    <w:abstractNumId w:val="23"/>
  </w:num>
  <w:num w:numId="24">
    <w:abstractNumId w:val="6"/>
  </w:num>
  <w:num w:numId="25">
    <w:abstractNumId w:val="26"/>
  </w:num>
  <w:num w:numId="26">
    <w:abstractNumId w:val="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70F"/>
    <w:rsid w:val="00007A33"/>
    <w:rsid w:val="000132E6"/>
    <w:rsid w:val="00016AA4"/>
    <w:rsid w:val="0003614F"/>
    <w:rsid w:val="00040FEE"/>
    <w:rsid w:val="00053B6C"/>
    <w:rsid w:val="00060CB9"/>
    <w:rsid w:val="000777AA"/>
    <w:rsid w:val="0008410A"/>
    <w:rsid w:val="00086DF8"/>
    <w:rsid w:val="00090CBF"/>
    <w:rsid w:val="00092F50"/>
    <w:rsid w:val="000A55D8"/>
    <w:rsid w:val="000B6BDA"/>
    <w:rsid w:val="000E1747"/>
    <w:rsid w:val="000F1F20"/>
    <w:rsid w:val="000F42B9"/>
    <w:rsid w:val="000F6059"/>
    <w:rsid w:val="00115345"/>
    <w:rsid w:val="0012639D"/>
    <w:rsid w:val="0013250E"/>
    <w:rsid w:val="00132EA7"/>
    <w:rsid w:val="00134C2B"/>
    <w:rsid w:val="0014229E"/>
    <w:rsid w:val="00150773"/>
    <w:rsid w:val="00151E25"/>
    <w:rsid w:val="001601CE"/>
    <w:rsid w:val="00173BC0"/>
    <w:rsid w:val="00180AEF"/>
    <w:rsid w:val="00185796"/>
    <w:rsid w:val="00186471"/>
    <w:rsid w:val="00187B2E"/>
    <w:rsid w:val="0019462E"/>
    <w:rsid w:val="00195408"/>
    <w:rsid w:val="001A0D01"/>
    <w:rsid w:val="001A1402"/>
    <w:rsid w:val="001A7BAA"/>
    <w:rsid w:val="001B546B"/>
    <w:rsid w:val="001C20BB"/>
    <w:rsid w:val="001E50E3"/>
    <w:rsid w:val="001F0BD2"/>
    <w:rsid w:val="00205029"/>
    <w:rsid w:val="00206E2A"/>
    <w:rsid w:val="00222F9D"/>
    <w:rsid w:val="002243A7"/>
    <w:rsid w:val="0022448F"/>
    <w:rsid w:val="00226E97"/>
    <w:rsid w:val="00227E21"/>
    <w:rsid w:val="00233ECA"/>
    <w:rsid w:val="00236CEA"/>
    <w:rsid w:val="00245F07"/>
    <w:rsid w:val="00256160"/>
    <w:rsid w:val="002669BE"/>
    <w:rsid w:val="00267101"/>
    <w:rsid w:val="00282E73"/>
    <w:rsid w:val="00283641"/>
    <w:rsid w:val="00297D20"/>
    <w:rsid w:val="002A0D67"/>
    <w:rsid w:val="002A2AF2"/>
    <w:rsid w:val="002A7F4B"/>
    <w:rsid w:val="002B633C"/>
    <w:rsid w:val="002C244A"/>
    <w:rsid w:val="002C4F89"/>
    <w:rsid w:val="002D07F8"/>
    <w:rsid w:val="002D62E0"/>
    <w:rsid w:val="002D7F6B"/>
    <w:rsid w:val="002E125B"/>
    <w:rsid w:val="002F51C7"/>
    <w:rsid w:val="003010EA"/>
    <w:rsid w:val="00302AE8"/>
    <w:rsid w:val="003152A0"/>
    <w:rsid w:val="00321801"/>
    <w:rsid w:val="00325BAE"/>
    <w:rsid w:val="003265A3"/>
    <w:rsid w:val="00332F82"/>
    <w:rsid w:val="00334F53"/>
    <w:rsid w:val="003463F8"/>
    <w:rsid w:val="0034706F"/>
    <w:rsid w:val="00347786"/>
    <w:rsid w:val="00374681"/>
    <w:rsid w:val="00381705"/>
    <w:rsid w:val="003861CC"/>
    <w:rsid w:val="00390A9C"/>
    <w:rsid w:val="0039518A"/>
    <w:rsid w:val="003A02AE"/>
    <w:rsid w:val="003A5035"/>
    <w:rsid w:val="003B1349"/>
    <w:rsid w:val="003B7168"/>
    <w:rsid w:val="003C2902"/>
    <w:rsid w:val="003C2ECA"/>
    <w:rsid w:val="003D57A0"/>
    <w:rsid w:val="003D779D"/>
    <w:rsid w:val="003E1747"/>
    <w:rsid w:val="003E389C"/>
    <w:rsid w:val="003E48D0"/>
    <w:rsid w:val="003E5731"/>
    <w:rsid w:val="0040158C"/>
    <w:rsid w:val="00411685"/>
    <w:rsid w:val="0041666B"/>
    <w:rsid w:val="004255DA"/>
    <w:rsid w:val="00443720"/>
    <w:rsid w:val="00447542"/>
    <w:rsid w:val="00451DF6"/>
    <w:rsid w:val="0046109F"/>
    <w:rsid w:val="00463E32"/>
    <w:rsid w:val="00466241"/>
    <w:rsid w:val="00466C51"/>
    <w:rsid w:val="00467B72"/>
    <w:rsid w:val="00481568"/>
    <w:rsid w:val="004862D4"/>
    <w:rsid w:val="00487647"/>
    <w:rsid w:val="00490E73"/>
    <w:rsid w:val="004A7CBF"/>
    <w:rsid w:val="004B1262"/>
    <w:rsid w:val="004B30BB"/>
    <w:rsid w:val="004B3CA2"/>
    <w:rsid w:val="004B66E8"/>
    <w:rsid w:val="004C43A1"/>
    <w:rsid w:val="004C6DF7"/>
    <w:rsid w:val="004C6F93"/>
    <w:rsid w:val="004C793A"/>
    <w:rsid w:val="004D3589"/>
    <w:rsid w:val="004E1611"/>
    <w:rsid w:val="004F7610"/>
    <w:rsid w:val="005214D2"/>
    <w:rsid w:val="00522F97"/>
    <w:rsid w:val="00524D42"/>
    <w:rsid w:val="00532F3F"/>
    <w:rsid w:val="005345D2"/>
    <w:rsid w:val="005347DA"/>
    <w:rsid w:val="00560287"/>
    <w:rsid w:val="0056048B"/>
    <w:rsid w:val="00566611"/>
    <w:rsid w:val="00566D22"/>
    <w:rsid w:val="00577AA3"/>
    <w:rsid w:val="005A4AC1"/>
    <w:rsid w:val="005C405B"/>
    <w:rsid w:val="005C7AD9"/>
    <w:rsid w:val="005E0CC0"/>
    <w:rsid w:val="005E1EC9"/>
    <w:rsid w:val="005E4BE4"/>
    <w:rsid w:val="005F61D3"/>
    <w:rsid w:val="006018F3"/>
    <w:rsid w:val="00613171"/>
    <w:rsid w:val="006174EA"/>
    <w:rsid w:val="00636BBD"/>
    <w:rsid w:val="00644797"/>
    <w:rsid w:val="00661B0A"/>
    <w:rsid w:val="006739ED"/>
    <w:rsid w:val="00673F1E"/>
    <w:rsid w:val="006743D8"/>
    <w:rsid w:val="00676508"/>
    <w:rsid w:val="00693086"/>
    <w:rsid w:val="006947B3"/>
    <w:rsid w:val="006A18AB"/>
    <w:rsid w:val="006A5477"/>
    <w:rsid w:val="006A6989"/>
    <w:rsid w:val="006A7B10"/>
    <w:rsid w:val="006E2C6B"/>
    <w:rsid w:val="006E3858"/>
    <w:rsid w:val="006E55F7"/>
    <w:rsid w:val="006E59EA"/>
    <w:rsid w:val="007001D4"/>
    <w:rsid w:val="0070187C"/>
    <w:rsid w:val="00706E30"/>
    <w:rsid w:val="0072721E"/>
    <w:rsid w:val="00730E4E"/>
    <w:rsid w:val="00740EFA"/>
    <w:rsid w:val="00744C91"/>
    <w:rsid w:val="007564DA"/>
    <w:rsid w:val="00760C26"/>
    <w:rsid w:val="00767EA6"/>
    <w:rsid w:val="0077190D"/>
    <w:rsid w:val="00771AC0"/>
    <w:rsid w:val="007904A4"/>
    <w:rsid w:val="0079669D"/>
    <w:rsid w:val="007A2C88"/>
    <w:rsid w:val="007A60DB"/>
    <w:rsid w:val="007A7CD1"/>
    <w:rsid w:val="007B14BD"/>
    <w:rsid w:val="007C11A3"/>
    <w:rsid w:val="007C3219"/>
    <w:rsid w:val="007C5683"/>
    <w:rsid w:val="007D0373"/>
    <w:rsid w:val="007D6A55"/>
    <w:rsid w:val="007F231B"/>
    <w:rsid w:val="007F5434"/>
    <w:rsid w:val="00813102"/>
    <w:rsid w:val="008209DF"/>
    <w:rsid w:val="00821684"/>
    <w:rsid w:val="00822E6C"/>
    <w:rsid w:val="00826523"/>
    <w:rsid w:val="008325B8"/>
    <w:rsid w:val="0083499D"/>
    <w:rsid w:val="00837A5B"/>
    <w:rsid w:val="00841DC5"/>
    <w:rsid w:val="008511D6"/>
    <w:rsid w:val="00864BFE"/>
    <w:rsid w:val="00867F78"/>
    <w:rsid w:val="00873ED0"/>
    <w:rsid w:val="00894823"/>
    <w:rsid w:val="008A29BF"/>
    <w:rsid w:val="008A2B40"/>
    <w:rsid w:val="008B008A"/>
    <w:rsid w:val="008B0C5C"/>
    <w:rsid w:val="008B166A"/>
    <w:rsid w:val="008B4B01"/>
    <w:rsid w:val="008B68C6"/>
    <w:rsid w:val="008C208A"/>
    <w:rsid w:val="008F0C46"/>
    <w:rsid w:val="009077C4"/>
    <w:rsid w:val="00912200"/>
    <w:rsid w:val="009418E3"/>
    <w:rsid w:val="00942659"/>
    <w:rsid w:val="00943F01"/>
    <w:rsid w:val="00953E1A"/>
    <w:rsid w:val="0095408E"/>
    <w:rsid w:val="00956058"/>
    <w:rsid w:val="009572CD"/>
    <w:rsid w:val="00974834"/>
    <w:rsid w:val="00975D81"/>
    <w:rsid w:val="009940E8"/>
    <w:rsid w:val="009A0F9D"/>
    <w:rsid w:val="009B618E"/>
    <w:rsid w:val="009E60B5"/>
    <w:rsid w:val="009F4402"/>
    <w:rsid w:val="009F4E5F"/>
    <w:rsid w:val="00A0309B"/>
    <w:rsid w:val="00A035CA"/>
    <w:rsid w:val="00A05895"/>
    <w:rsid w:val="00A10A77"/>
    <w:rsid w:val="00A143D3"/>
    <w:rsid w:val="00A147C8"/>
    <w:rsid w:val="00A17448"/>
    <w:rsid w:val="00A22257"/>
    <w:rsid w:val="00A23091"/>
    <w:rsid w:val="00A25B94"/>
    <w:rsid w:val="00A310F8"/>
    <w:rsid w:val="00A360CE"/>
    <w:rsid w:val="00A4670F"/>
    <w:rsid w:val="00AA14C5"/>
    <w:rsid w:val="00AB21FB"/>
    <w:rsid w:val="00AB2831"/>
    <w:rsid w:val="00AC12CD"/>
    <w:rsid w:val="00AF1872"/>
    <w:rsid w:val="00B11EB7"/>
    <w:rsid w:val="00B1362B"/>
    <w:rsid w:val="00B145C0"/>
    <w:rsid w:val="00B2143A"/>
    <w:rsid w:val="00B249CE"/>
    <w:rsid w:val="00B35DEB"/>
    <w:rsid w:val="00B43927"/>
    <w:rsid w:val="00B44716"/>
    <w:rsid w:val="00B5120D"/>
    <w:rsid w:val="00B560FB"/>
    <w:rsid w:val="00B56792"/>
    <w:rsid w:val="00B74CE7"/>
    <w:rsid w:val="00B77B56"/>
    <w:rsid w:val="00B86797"/>
    <w:rsid w:val="00B875EA"/>
    <w:rsid w:val="00B96D8C"/>
    <w:rsid w:val="00B970F9"/>
    <w:rsid w:val="00BB3B52"/>
    <w:rsid w:val="00BD5799"/>
    <w:rsid w:val="00BF384A"/>
    <w:rsid w:val="00C04C96"/>
    <w:rsid w:val="00C1384F"/>
    <w:rsid w:val="00C25E65"/>
    <w:rsid w:val="00C46271"/>
    <w:rsid w:val="00C503CA"/>
    <w:rsid w:val="00C54B87"/>
    <w:rsid w:val="00C62434"/>
    <w:rsid w:val="00C90D6F"/>
    <w:rsid w:val="00C96983"/>
    <w:rsid w:val="00C97308"/>
    <w:rsid w:val="00CA1ABF"/>
    <w:rsid w:val="00CA1B6E"/>
    <w:rsid w:val="00CA5ED9"/>
    <w:rsid w:val="00CB5CFC"/>
    <w:rsid w:val="00CC4719"/>
    <w:rsid w:val="00CD4664"/>
    <w:rsid w:val="00CE071B"/>
    <w:rsid w:val="00D008A9"/>
    <w:rsid w:val="00D1021A"/>
    <w:rsid w:val="00D134CB"/>
    <w:rsid w:val="00D14A88"/>
    <w:rsid w:val="00D22534"/>
    <w:rsid w:val="00D375AF"/>
    <w:rsid w:val="00D42257"/>
    <w:rsid w:val="00D42EE8"/>
    <w:rsid w:val="00D46F84"/>
    <w:rsid w:val="00D4729F"/>
    <w:rsid w:val="00D51629"/>
    <w:rsid w:val="00D55D34"/>
    <w:rsid w:val="00D626D1"/>
    <w:rsid w:val="00D6322E"/>
    <w:rsid w:val="00D70680"/>
    <w:rsid w:val="00D717AB"/>
    <w:rsid w:val="00D77607"/>
    <w:rsid w:val="00D86F7A"/>
    <w:rsid w:val="00D9090D"/>
    <w:rsid w:val="00D91801"/>
    <w:rsid w:val="00DA314C"/>
    <w:rsid w:val="00DA4AEE"/>
    <w:rsid w:val="00DA6E94"/>
    <w:rsid w:val="00DA77AD"/>
    <w:rsid w:val="00DB152D"/>
    <w:rsid w:val="00DB1AC6"/>
    <w:rsid w:val="00DB20D0"/>
    <w:rsid w:val="00DB7C78"/>
    <w:rsid w:val="00DC1CD2"/>
    <w:rsid w:val="00DC277A"/>
    <w:rsid w:val="00DC5047"/>
    <w:rsid w:val="00DC58D1"/>
    <w:rsid w:val="00DC5FF1"/>
    <w:rsid w:val="00DD28D1"/>
    <w:rsid w:val="00DD3528"/>
    <w:rsid w:val="00DE0BC9"/>
    <w:rsid w:val="00DE5054"/>
    <w:rsid w:val="00DE63EB"/>
    <w:rsid w:val="00DF24A9"/>
    <w:rsid w:val="00DF282A"/>
    <w:rsid w:val="00DF5E8E"/>
    <w:rsid w:val="00E0361F"/>
    <w:rsid w:val="00E45ED1"/>
    <w:rsid w:val="00E47C6E"/>
    <w:rsid w:val="00E50713"/>
    <w:rsid w:val="00E53F56"/>
    <w:rsid w:val="00E55E76"/>
    <w:rsid w:val="00E56F2D"/>
    <w:rsid w:val="00E61BB1"/>
    <w:rsid w:val="00E977A5"/>
    <w:rsid w:val="00EA3FD8"/>
    <w:rsid w:val="00EB16EC"/>
    <w:rsid w:val="00EB19BC"/>
    <w:rsid w:val="00EB7ECC"/>
    <w:rsid w:val="00EC3224"/>
    <w:rsid w:val="00ED7378"/>
    <w:rsid w:val="00EE409F"/>
    <w:rsid w:val="00EE4643"/>
    <w:rsid w:val="00EE71AB"/>
    <w:rsid w:val="00EF60FD"/>
    <w:rsid w:val="00F05897"/>
    <w:rsid w:val="00F1064D"/>
    <w:rsid w:val="00F10FA5"/>
    <w:rsid w:val="00F16C86"/>
    <w:rsid w:val="00F17B51"/>
    <w:rsid w:val="00F42860"/>
    <w:rsid w:val="00F4795C"/>
    <w:rsid w:val="00F513C5"/>
    <w:rsid w:val="00F5470F"/>
    <w:rsid w:val="00F555BE"/>
    <w:rsid w:val="00F55657"/>
    <w:rsid w:val="00F73BA4"/>
    <w:rsid w:val="00F8236E"/>
    <w:rsid w:val="00F9014E"/>
    <w:rsid w:val="00F9274D"/>
    <w:rsid w:val="00FA0D2D"/>
    <w:rsid w:val="00FA422A"/>
    <w:rsid w:val="00FA6715"/>
    <w:rsid w:val="00FA6BF8"/>
    <w:rsid w:val="00FA795A"/>
    <w:rsid w:val="00FB1B0E"/>
    <w:rsid w:val="00FF1ED1"/>
    <w:rsid w:val="00FF47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BD175"/>
  <w15:docId w15:val="{B76193F1-62E2-4A80-9FF6-4BB5F741C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qFormat/>
    <w:rsid w:val="000F42B9"/>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EC3224"/>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unhideWhenUsed/>
    <w:qFormat/>
    <w:rsid w:val="00EC3224"/>
    <w:pPr>
      <w:numPr>
        <w:ilvl w:val="2"/>
      </w:numPr>
      <w:spacing w:before="120"/>
      <w:outlineLvl w:val="2"/>
    </w:pPr>
    <w:rPr>
      <w:sz w:val="28"/>
    </w:rPr>
  </w:style>
  <w:style w:type="paragraph" w:styleId="Heading4">
    <w:name w:val="heading 4"/>
    <w:basedOn w:val="Normal"/>
    <w:next w:val="Normal"/>
    <w:link w:val="Heading4Char"/>
    <w:uiPriority w:val="9"/>
    <w:unhideWhenUsed/>
    <w:qFormat/>
    <w:rsid w:val="00EC3224"/>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C3224"/>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C3224"/>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C3224"/>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C3224"/>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C3224"/>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F42B9"/>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EC3224"/>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rsid w:val="00EC3224"/>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EC3224"/>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EC3224"/>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EC3224"/>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EC322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EC3224"/>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EC3224"/>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EC3224"/>
    <w:pPr>
      <w:numPr>
        <w:numId w:val="2"/>
      </w:numPr>
      <w:jc w:val="both"/>
    </w:pPr>
    <w:rPr>
      <w:lang w:eastAsia="x-none"/>
    </w:rPr>
  </w:style>
  <w:style w:type="character" w:customStyle="1" w:styleId="Recommend-1Char">
    <w:name w:val="Recommend-1 Char"/>
    <w:link w:val="Recommend-1"/>
    <w:rsid w:val="00EC3224"/>
    <w:rPr>
      <w:rFonts w:ascii="Times New Roman" w:eastAsia="SimSun" w:hAnsi="Times New Roman" w:cs="Times New Roman"/>
      <w:sz w:val="20"/>
      <w:szCs w:val="20"/>
      <w:lang w:eastAsia="x-none"/>
    </w:rPr>
  </w:style>
  <w:style w:type="paragraph" w:styleId="ListParagraph">
    <w:name w:val="List Paragraph"/>
    <w:basedOn w:val="Normal"/>
    <w:link w:val="ListParagraphChar"/>
    <w:uiPriority w:val="34"/>
    <w:qFormat/>
    <w:rsid w:val="00EC3224"/>
    <w:pPr>
      <w:ind w:left="720"/>
      <w:contextualSpacing/>
    </w:pPr>
  </w:style>
  <w:style w:type="paragraph" w:customStyle="1" w:styleId="Normalstyle">
    <w:name w:val="Normal style"/>
    <w:basedOn w:val="Normal"/>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NormalWeb">
    <w:name w:val="Normal (Web)"/>
    <w:basedOn w:val="Normal"/>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TOC1">
    <w:name w:val="toc 1"/>
    <w:basedOn w:val="Normal"/>
    <w:next w:val="Normal"/>
    <w:autoRedefine/>
    <w:uiPriority w:val="39"/>
    <w:unhideWhenUsed/>
    <w:rsid w:val="00302AE8"/>
    <w:pPr>
      <w:tabs>
        <w:tab w:val="left" w:pos="990"/>
        <w:tab w:val="right" w:leader="dot" w:pos="9350"/>
      </w:tabs>
      <w:spacing w:after="100"/>
    </w:pPr>
    <w:rPr>
      <w:rFonts w:ascii="Times New Roman Bold" w:hAnsi="Times New Roman Bold"/>
      <w:b/>
      <w:noProof/>
      <w:lang w:val="en-GB"/>
    </w:rPr>
  </w:style>
  <w:style w:type="paragraph" w:customStyle="1" w:styleId="Doc-text2">
    <w:name w:val="Doc-text2"/>
    <w:basedOn w:val="Normal"/>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autoRedefine/>
    <w:qFormat/>
    <w:rsid w:val="00FF1ED1"/>
    <w:pPr>
      <w:numPr>
        <w:numId w:val="3"/>
      </w:numPr>
      <w:jc w:val="both"/>
    </w:pPr>
    <w:rPr>
      <w:b/>
      <w:lang w:val="en-GB" w:eastAsia="x-none"/>
    </w:rPr>
  </w:style>
  <w:style w:type="character" w:customStyle="1" w:styleId="ObservationstyleChar">
    <w:name w:val="Observation style Char"/>
    <w:link w:val="Observationstyle"/>
    <w:rsid w:val="00FF1ED1"/>
    <w:rPr>
      <w:rFonts w:ascii="Times New Roman" w:hAnsi="Times New Roman" w:cs="Times New Roman"/>
      <w:b/>
      <w:sz w:val="20"/>
      <w:szCs w:val="20"/>
      <w:lang w:val="en-GB" w:eastAsia="x-none"/>
    </w:rPr>
  </w:style>
  <w:style w:type="character" w:styleId="CommentReference">
    <w:name w:val="annotation reference"/>
    <w:basedOn w:val="DefaultParagraphFont"/>
    <w:uiPriority w:val="99"/>
    <w:semiHidden/>
    <w:unhideWhenUsed/>
    <w:rsid w:val="00D55D34"/>
    <w:rPr>
      <w:sz w:val="16"/>
      <w:szCs w:val="16"/>
    </w:rPr>
  </w:style>
  <w:style w:type="paragraph" w:styleId="CommentText">
    <w:name w:val="annotation text"/>
    <w:basedOn w:val="Normal"/>
    <w:link w:val="CommentTextChar"/>
    <w:uiPriority w:val="99"/>
    <w:unhideWhenUsed/>
    <w:rsid w:val="00D55D34"/>
  </w:style>
  <w:style w:type="character" w:customStyle="1" w:styleId="CommentTextChar">
    <w:name w:val="Comment Text Char"/>
    <w:basedOn w:val="DefaultParagraphFont"/>
    <w:link w:val="CommentText"/>
    <w:uiPriority w:val="99"/>
    <w:rsid w:val="00D55D34"/>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55D34"/>
    <w:rPr>
      <w:b/>
      <w:bCs/>
    </w:rPr>
  </w:style>
  <w:style w:type="character" w:customStyle="1" w:styleId="CommentSubjectChar">
    <w:name w:val="Comment Subject Char"/>
    <w:basedOn w:val="CommentTextChar"/>
    <w:link w:val="CommentSubject"/>
    <w:uiPriority w:val="99"/>
    <w:semiHidden/>
    <w:rsid w:val="00D55D34"/>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D55D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5D34"/>
    <w:rPr>
      <w:rFonts w:ascii="Segoe UI" w:eastAsia="SimSun" w:hAnsi="Segoe UI" w:cs="Segoe UI"/>
      <w:sz w:val="18"/>
      <w:szCs w:val="18"/>
    </w:rPr>
  </w:style>
  <w:style w:type="paragraph" w:styleId="Revision">
    <w:name w:val="Revision"/>
    <w:hidden/>
    <w:uiPriority w:val="99"/>
    <w:semiHidden/>
    <w:rsid w:val="000F42B9"/>
    <w:pPr>
      <w:spacing w:after="0" w:line="240" w:lineRule="auto"/>
    </w:pPr>
    <w:rPr>
      <w:rFonts w:ascii="Times New Roman" w:hAnsi="Times New Roman" w:cs="Times New Roman"/>
      <w:sz w:val="20"/>
      <w:szCs w:val="20"/>
    </w:rPr>
  </w:style>
  <w:style w:type="table" w:styleId="TableGrid">
    <w:name w:val="Table Grid"/>
    <w:basedOn w:val="TableNormal"/>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F24A9"/>
    <w:pPr>
      <w:spacing w:after="200"/>
    </w:pPr>
    <w:rPr>
      <w:i/>
      <w:iCs/>
      <w:color w:val="44546A" w:themeColor="text2"/>
      <w:sz w:val="18"/>
      <w:szCs w:val="18"/>
    </w:rPr>
  </w:style>
  <w:style w:type="character" w:customStyle="1" w:styleId="ListParagraphChar">
    <w:name w:val="List Paragraph Char"/>
    <w:link w:val="ListParagraph"/>
    <w:uiPriority w:val="34"/>
    <w:locked/>
    <w:rsid w:val="00F4795C"/>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82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2.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package" Target="embeddings/Microsoft_Visio_Drawing3.vsdx"/><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5CAF52-01E0-4731-AA47-45E54654F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4FFB42-8398-493D-B7E8-1F151A1B0D07}">
  <ds:schemaRefs>
    <ds:schemaRef ds:uri="http://schemas.microsoft.com/sharepoint/v3/contenttype/forms"/>
  </ds:schemaRefs>
</ds:datastoreItem>
</file>

<file path=customXml/itemProps4.xml><?xml version="1.0" encoding="utf-8"?>
<ds:datastoreItem xmlns:ds="http://schemas.openxmlformats.org/officeDocument/2006/customXml" ds:itemID="{DAD4D278-9F49-4F61-91ED-F3D65277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4</cp:revision>
  <dcterms:created xsi:type="dcterms:W3CDTF">2017-08-12T03:41:00Z</dcterms:created>
  <dcterms:modified xsi:type="dcterms:W3CDTF">2017-08-12T04:35:00Z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